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2CA53">
      <w:pPr>
        <w:rPr>
          <w:rFonts w:ascii="方正小标宋简体" w:hAnsi="Times New Roman" w:eastAsia="方正小标宋简体" w:cs="Times New Roman"/>
          <w:b/>
          <w:bCs/>
          <w:kern w:val="2"/>
          <w:sz w:val="28"/>
          <w:szCs w:val="28"/>
          <w:lang w:eastAsia="zh-CN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2"/>
          <w:sz w:val="28"/>
          <w:szCs w:val="28"/>
          <w:lang w:eastAsia="zh-CN"/>
        </w:rPr>
        <w:t>附件：★深圳外国语学校博雅高中2025年田径运动会塑料凳采购项目（SWGZY20250</w:t>
      </w:r>
      <w:r>
        <w:rPr>
          <w:rFonts w:hint="eastAsia" w:ascii="方正小标宋简体" w:hAnsi="Times New Roman" w:eastAsia="方正小标宋简体" w:cs="Times New Roman"/>
          <w:b/>
          <w:bCs/>
          <w:kern w:val="2"/>
          <w:sz w:val="28"/>
          <w:szCs w:val="28"/>
          <w:lang w:val="en-US" w:eastAsia="zh-CN"/>
        </w:rPr>
        <w:t>14</w:t>
      </w:r>
      <w:r>
        <w:rPr>
          <w:rFonts w:hint="eastAsia" w:ascii="方正小标宋简体" w:hAnsi="Times New Roman" w:eastAsia="方正小标宋简体" w:cs="Times New Roman"/>
          <w:b/>
          <w:bCs/>
          <w:kern w:val="2"/>
          <w:sz w:val="28"/>
          <w:szCs w:val="28"/>
          <w:lang w:eastAsia="zh-CN"/>
        </w:rPr>
        <w:t>）需求计划</w:t>
      </w:r>
    </w:p>
    <w:p w14:paraId="6858B92D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</w:p>
    <w:p w14:paraId="2EC4EA2F">
      <w:pPr>
        <w:rPr>
          <w:rFonts w:ascii="宋体" w:hAnsi="宋体" w:eastAsia="宋体"/>
          <w:b/>
          <w:bCs/>
          <w:color w:val="FF0000"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FF0000"/>
          <w:sz w:val="21"/>
          <w:szCs w:val="21"/>
          <w:lang w:eastAsia="zh-CN"/>
        </w:rPr>
        <w:t>带“★”指标项为实质性条款，如出现负偏离，将被视为未实质性满足招标文件要求作投标无效处理。</w:t>
      </w:r>
    </w:p>
    <w:p w14:paraId="5358EA0F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</w:p>
    <w:p w14:paraId="15182B40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>一、货物清单</w:t>
      </w:r>
    </w:p>
    <w:tbl>
      <w:tblPr>
        <w:tblStyle w:val="12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877"/>
        <w:gridCol w:w="1153"/>
        <w:gridCol w:w="1153"/>
        <w:gridCol w:w="3818"/>
      </w:tblGrid>
      <w:tr w14:paraId="5F0FB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8" w:type="pct"/>
            <w:vAlign w:val="center"/>
          </w:tcPr>
          <w:p w14:paraId="5B3FFC02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445" w:type="pct"/>
            <w:vAlign w:val="center"/>
          </w:tcPr>
          <w:p w14:paraId="40B3B6B0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货物名称</w:t>
            </w:r>
          </w:p>
        </w:tc>
        <w:tc>
          <w:tcPr>
            <w:tcW w:w="579" w:type="pct"/>
            <w:vAlign w:val="center"/>
          </w:tcPr>
          <w:p w14:paraId="49744F3C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579" w:type="pct"/>
            <w:vAlign w:val="center"/>
          </w:tcPr>
          <w:p w14:paraId="0E108DB6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1918" w:type="pct"/>
            <w:vAlign w:val="center"/>
          </w:tcPr>
          <w:p w14:paraId="2C193B96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参考图片</w:t>
            </w:r>
          </w:p>
        </w:tc>
      </w:tr>
      <w:tr w14:paraId="11F74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78" w:type="pct"/>
            <w:vAlign w:val="center"/>
          </w:tcPr>
          <w:p w14:paraId="78612118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445" w:type="pct"/>
            <w:vAlign w:val="center"/>
          </w:tcPr>
          <w:p w14:paraId="413F90E7">
            <w:pPr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塑料凳</w:t>
            </w:r>
          </w:p>
        </w:tc>
        <w:tc>
          <w:tcPr>
            <w:tcW w:w="579" w:type="pct"/>
            <w:vAlign w:val="center"/>
          </w:tcPr>
          <w:p w14:paraId="3EA6B912">
            <w:pPr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1650</w:t>
            </w:r>
          </w:p>
        </w:tc>
        <w:tc>
          <w:tcPr>
            <w:tcW w:w="579" w:type="pct"/>
            <w:vAlign w:val="center"/>
          </w:tcPr>
          <w:p w14:paraId="1D16C880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1918" w:type="pct"/>
            <w:vAlign w:val="center"/>
          </w:tcPr>
          <w:p w14:paraId="0E168BA1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1337310" cy="1310005"/>
                  <wp:effectExtent l="0" t="0" r="15240" b="4445"/>
                  <wp:docPr id="1" name="图片 1" descr="凳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凳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310" cy="131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1DD42C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</w:p>
    <w:p w14:paraId="116147AC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>二、★技术要求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148"/>
        <w:gridCol w:w="1768"/>
        <w:gridCol w:w="6134"/>
      </w:tblGrid>
      <w:tr w14:paraId="7975F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  <w:vAlign w:val="center"/>
          </w:tcPr>
          <w:p w14:paraId="5C0740FD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576" w:type="pct"/>
            <w:vAlign w:val="center"/>
          </w:tcPr>
          <w:p w14:paraId="1D5509E5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货物名称</w:t>
            </w:r>
          </w:p>
        </w:tc>
        <w:tc>
          <w:tcPr>
            <w:tcW w:w="887" w:type="pct"/>
          </w:tcPr>
          <w:p w14:paraId="626963D1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参数类别</w:t>
            </w:r>
          </w:p>
        </w:tc>
        <w:tc>
          <w:tcPr>
            <w:tcW w:w="3078" w:type="pct"/>
          </w:tcPr>
          <w:p w14:paraId="002729AA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技术规格与描述</w:t>
            </w:r>
          </w:p>
        </w:tc>
      </w:tr>
      <w:tr w14:paraId="73B63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  <w:vMerge w:val="restart"/>
            <w:vAlign w:val="center"/>
          </w:tcPr>
          <w:p w14:paraId="3EC39AB5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76" w:type="pct"/>
            <w:vMerge w:val="restart"/>
            <w:vAlign w:val="center"/>
          </w:tcPr>
          <w:p w14:paraId="7112EA8B">
            <w:pPr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塑料凳</w:t>
            </w:r>
          </w:p>
        </w:tc>
        <w:tc>
          <w:tcPr>
            <w:tcW w:w="887" w:type="pct"/>
          </w:tcPr>
          <w:p w14:paraId="7DBCB9B3">
            <w:pPr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材质厚度</w:t>
            </w:r>
          </w:p>
        </w:tc>
        <w:tc>
          <w:tcPr>
            <w:tcW w:w="3078" w:type="pct"/>
          </w:tcPr>
          <w:p w14:paraId="6B030458">
            <w:pP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  <w:t xml:space="preserve">整体：采用PP材质，整体PP材质厚度≥4mm； </w:t>
            </w:r>
          </w:p>
          <w:p w14:paraId="4C2CF4BF">
            <w:pP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  <w:t xml:space="preserve">脚垫：采用橡胶材质，厚度≥3mm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4B7B8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  <w:vMerge w:val="continue"/>
            <w:vAlign w:val="center"/>
          </w:tcPr>
          <w:p w14:paraId="5190E807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76" w:type="pct"/>
            <w:vMerge w:val="continue"/>
            <w:vAlign w:val="center"/>
          </w:tcPr>
          <w:p w14:paraId="22E27213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87" w:type="pct"/>
          </w:tcPr>
          <w:p w14:paraId="643F17DF">
            <w:pPr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产品颜色</w:t>
            </w:r>
          </w:p>
        </w:tc>
        <w:tc>
          <w:tcPr>
            <w:tcW w:w="3078" w:type="pct"/>
          </w:tcPr>
          <w:p w14:paraId="63839F1A">
            <w:pP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  <w:t>灰</w:t>
            </w:r>
            <w:bookmarkStart w:id="1" w:name="_GoBack"/>
            <w:bookmarkEnd w:id="1"/>
            <w: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  <w:t>色</w:t>
            </w:r>
          </w:p>
        </w:tc>
      </w:tr>
      <w:tr w14:paraId="4B263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  <w:vMerge w:val="continue"/>
            <w:vAlign w:val="center"/>
          </w:tcPr>
          <w:p w14:paraId="4BC00A2B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76" w:type="pct"/>
            <w:vMerge w:val="continue"/>
            <w:vAlign w:val="center"/>
          </w:tcPr>
          <w:p w14:paraId="1C74128F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87" w:type="pct"/>
          </w:tcPr>
          <w:p w14:paraId="65B5A975">
            <w:pPr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尺寸规格</w:t>
            </w:r>
          </w:p>
        </w:tc>
        <w:tc>
          <w:tcPr>
            <w:tcW w:w="3078" w:type="pct"/>
          </w:tcPr>
          <w:p w14:paraId="683AE65E">
            <w:pP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  <w:t>φ300*H460mm（±5mm）</w:t>
            </w:r>
          </w:p>
        </w:tc>
      </w:tr>
      <w:tr w14:paraId="739E8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  <w:vMerge w:val="continue"/>
            <w:vAlign w:val="center"/>
          </w:tcPr>
          <w:p w14:paraId="7589688C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76" w:type="pct"/>
            <w:vMerge w:val="continue"/>
            <w:vAlign w:val="center"/>
          </w:tcPr>
          <w:p w14:paraId="40B14638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87" w:type="pct"/>
          </w:tcPr>
          <w:p w14:paraId="6ABC7826">
            <w:pPr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结构细节</w:t>
            </w:r>
          </w:p>
        </w:tc>
        <w:tc>
          <w:tcPr>
            <w:tcW w:w="3078" w:type="pct"/>
          </w:tcPr>
          <w:p w14:paraId="03C93FE3">
            <w:pP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  <w:t>座面采用风车造型设计，中部有φ≥20mm透气孔</w:t>
            </w:r>
          </w:p>
        </w:tc>
      </w:tr>
      <w:tr w14:paraId="07961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  <w:vMerge w:val="continue"/>
            <w:vAlign w:val="center"/>
          </w:tcPr>
          <w:p w14:paraId="74C6BC83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76" w:type="pct"/>
            <w:vMerge w:val="continue"/>
            <w:vAlign w:val="center"/>
          </w:tcPr>
          <w:p w14:paraId="03D9CCFF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87" w:type="pct"/>
          </w:tcPr>
          <w:p w14:paraId="58ECCC8E">
            <w:pPr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工艺要求</w:t>
            </w:r>
          </w:p>
        </w:tc>
        <w:tc>
          <w:tcPr>
            <w:tcW w:w="3078" w:type="pct"/>
          </w:tcPr>
          <w:p w14:paraId="442DD9FC">
            <w:pP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  <w:t>整体采用一体注塑工艺</w:t>
            </w:r>
          </w:p>
        </w:tc>
      </w:tr>
      <w:tr w14:paraId="5E80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  <w:vMerge w:val="continue"/>
            <w:vAlign w:val="center"/>
          </w:tcPr>
          <w:p w14:paraId="6B5D66F9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76" w:type="pct"/>
            <w:vMerge w:val="continue"/>
            <w:vAlign w:val="center"/>
          </w:tcPr>
          <w:p w14:paraId="044D72F3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87" w:type="pct"/>
          </w:tcPr>
          <w:p w14:paraId="2CCDC626">
            <w:pPr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性能指标</w:t>
            </w:r>
          </w:p>
        </w:tc>
        <w:tc>
          <w:tcPr>
            <w:tcW w:w="3078" w:type="pct"/>
          </w:tcPr>
          <w:p w14:paraId="04E8942E">
            <w:pP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  <w:t>整体能承受75KG重量不变形</w:t>
            </w:r>
          </w:p>
        </w:tc>
      </w:tr>
    </w:tbl>
    <w:p w14:paraId="22332AE5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</w:p>
    <w:p w14:paraId="33FC1D0A">
      <w:pPr>
        <w:rPr>
          <w:rFonts w:ascii="宋体" w:hAnsi="宋体" w:eastAsia="宋体"/>
          <w:b/>
        </w:rPr>
      </w:pP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>三、商务需求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2383"/>
        <w:gridCol w:w="6637"/>
      </w:tblGrid>
      <w:tr w14:paraId="111EA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69F2DD13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bookmarkStart w:id="0" w:name="_Hlk157098517"/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96" w:type="pct"/>
            <w:vAlign w:val="center"/>
          </w:tcPr>
          <w:p w14:paraId="251816F1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目录</w:t>
            </w:r>
          </w:p>
        </w:tc>
        <w:tc>
          <w:tcPr>
            <w:tcW w:w="3331" w:type="pct"/>
            <w:vAlign w:val="center"/>
          </w:tcPr>
          <w:p w14:paraId="2834EAC0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招标商务需求</w:t>
            </w:r>
          </w:p>
        </w:tc>
      </w:tr>
      <w:tr w14:paraId="1C03A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  <w:vAlign w:val="center"/>
          </w:tcPr>
          <w:p w14:paraId="5F214FE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（一）免费保修期内售后服务要求</w:t>
            </w:r>
          </w:p>
        </w:tc>
      </w:tr>
      <w:tr w14:paraId="11503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53946AF1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96" w:type="pct"/>
            <w:vAlign w:val="center"/>
          </w:tcPr>
          <w:p w14:paraId="7FD775DD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免费保修期</w:t>
            </w:r>
          </w:p>
        </w:tc>
        <w:tc>
          <w:tcPr>
            <w:tcW w:w="3331" w:type="pct"/>
            <w:vAlign w:val="center"/>
          </w:tcPr>
          <w:p w14:paraId="07D1A915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 xml:space="preserve">★货物免费保修期 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年，时间自最终验收合格并交付使用之日起计算。</w:t>
            </w:r>
          </w:p>
        </w:tc>
      </w:tr>
      <w:tr w14:paraId="6944B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4EA4E0E5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96" w:type="pct"/>
            <w:vAlign w:val="center"/>
          </w:tcPr>
          <w:p w14:paraId="265484E3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维修响应及故障解决时间</w:t>
            </w:r>
          </w:p>
        </w:tc>
        <w:tc>
          <w:tcPr>
            <w:tcW w:w="3331" w:type="pct"/>
            <w:vAlign w:val="center"/>
          </w:tcPr>
          <w:p w14:paraId="137ACE30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在保修期内，一旦发生质量问题，投标人保证在接到通知24小时内赶到现场进行修理或更换。</w:t>
            </w:r>
          </w:p>
        </w:tc>
      </w:tr>
      <w:tr w14:paraId="74C50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  <w:vAlign w:val="center"/>
          </w:tcPr>
          <w:p w14:paraId="0B988222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（二）免费保修期外售后服务要求</w:t>
            </w:r>
          </w:p>
        </w:tc>
      </w:tr>
      <w:tr w14:paraId="5E8B5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46691D15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96" w:type="pct"/>
            <w:vAlign w:val="center"/>
          </w:tcPr>
          <w:p w14:paraId="498D8F5C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关于维修响应</w:t>
            </w:r>
          </w:p>
        </w:tc>
        <w:tc>
          <w:tcPr>
            <w:tcW w:w="3331" w:type="pct"/>
            <w:vAlign w:val="center"/>
          </w:tcPr>
          <w:p w14:paraId="56C1A95E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在免费保修期外，一旦发生质量问题，投标人保证在接到通知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24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小时内赶到现场进行修理或更换。</w:t>
            </w:r>
          </w:p>
        </w:tc>
      </w:tr>
      <w:tr w14:paraId="1B53E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22E3789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96" w:type="pct"/>
            <w:vAlign w:val="center"/>
          </w:tcPr>
          <w:p w14:paraId="0B96669E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关于收费</w:t>
            </w:r>
          </w:p>
        </w:tc>
        <w:tc>
          <w:tcPr>
            <w:tcW w:w="3331" w:type="pct"/>
            <w:vAlign w:val="center"/>
          </w:tcPr>
          <w:p w14:paraId="23EB777E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★在免费保修期外，投标人必须继续支持维修，免收上门服务费，并按成本价标准收取零配件费用。</w:t>
            </w:r>
          </w:p>
        </w:tc>
      </w:tr>
      <w:tr w14:paraId="564D6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  <w:vAlign w:val="center"/>
          </w:tcPr>
          <w:p w14:paraId="7D4B8C2C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（三）其他商务要求</w:t>
            </w:r>
          </w:p>
        </w:tc>
      </w:tr>
      <w:tr w14:paraId="7ED42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7366B314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96" w:type="pct"/>
            <w:vMerge w:val="restart"/>
            <w:vAlign w:val="center"/>
          </w:tcPr>
          <w:p w14:paraId="45F1087E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关于交货</w:t>
            </w:r>
          </w:p>
        </w:tc>
        <w:tc>
          <w:tcPr>
            <w:tcW w:w="3331" w:type="pct"/>
            <w:vAlign w:val="center"/>
          </w:tcPr>
          <w:p w14:paraId="4ADF97EC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1.1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交货地点：深圳市光明区马田街道深圳外国语学校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高中园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（校内具体地点由采购人指定）。</w:t>
            </w:r>
          </w:p>
        </w:tc>
      </w:tr>
      <w:tr w14:paraId="4C39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2B716534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3844361C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2BDCAF2F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★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1.2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投标人必须承担的设备运输、安装调试、验收检测和提供设备操作说明书、图纸等其他类似的义务。</w:t>
            </w:r>
          </w:p>
        </w:tc>
      </w:tr>
      <w:tr w14:paraId="5A199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4FD1CAAF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3E5983A6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0B1C5C9C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★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1.3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签订合同后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15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天（日历日）内交货。</w:t>
            </w:r>
          </w:p>
        </w:tc>
      </w:tr>
      <w:tr w14:paraId="436E3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22A8DD33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96" w:type="pct"/>
            <w:vMerge w:val="restart"/>
            <w:vAlign w:val="center"/>
          </w:tcPr>
          <w:p w14:paraId="433AA859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关于验收</w:t>
            </w:r>
          </w:p>
        </w:tc>
        <w:tc>
          <w:tcPr>
            <w:tcW w:w="3331" w:type="pct"/>
            <w:vAlign w:val="center"/>
          </w:tcPr>
          <w:p w14:paraId="3C59285D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2.1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投标人货物经过双方检验认可后，签署验收报告，产品保修期自验收合格之日起算，由投标人提供产品保修文件。</w:t>
            </w:r>
          </w:p>
        </w:tc>
      </w:tr>
      <w:tr w14:paraId="76EA8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7724DC7D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5C2B99AD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0FB35BD7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2.2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当满足以下条件时，采购人才向投标人签发货物验收报告：</w:t>
            </w:r>
          </w:p>
          <w:p w14:paraId="6ED70059">
            <w:pPr>
              <w:widowControl w:val="0"/>
              <w:tabs>
                <w:tab w:val="left" w:pos="1260"/>
              </w:tabs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a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、投标人已按照合同规定提供了全部产品及完整的技术资料。</w:t>
            </w:r>
          </w:p>
          <w:p w14:paraId="49354DD8">
            <w:pPr>
              <w:widowControl w:val="0"/>
              <w:tabs>
                <w:tab w:val="left" w:pos="1260"/>
              </w:tabs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b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、货物符合招标文件技术规格书的要求，性能满足要求。</w:t>
            </w:r>
          </w:p>
          <w:p w14:paraId="1CF82685">
            <w:pPr>
              <w:widowControl w:val="0"/>
              <w:tabs>
                <w:tab w:val="left" w:pos="1260"/>
              </w:tabs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c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、货物具备产品合格证。</w:t>
            </w:r>
          </w:p>
        </w:tc>
      </w:tr>
      <w:tr w14:paraId="3ACA6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1E7006A6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96" w:type="pct"/>
            <w:vMerge w:val="restart"/>
            <w:vAlign w:val="center"/>
          </w:tcPr>
          <w:p w14:paraId="4ABBCD05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关于违约</w:t>
            </w:r>
          </w:p>
        </w:tc>
        <w:tc>
          <w:tcPr>
            <w:tcW w:w="3331" w:type="pct"/>
            <w:vAlign w:val="center"/>
          </w:tcPr>
          <w:p w14:paraId="21B513EE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3.1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投标人不能交货的，需偿付不能交货部分货款的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30%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的违约金并按主管部门相关规定处理。</w:t>
            </w:r>
          </w:p>
        </w:tc>
      </w:tr>
      <w:tr w14:paraId="30AC2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01CB42ED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6DD32C53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59586F21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3.2投标人逾期交货的，应向采购人每日支付合同总价千分之三的违约金，并按主管部门相关规定处理。</w:t>
            </w:r>
          </w:p>
        </w:tc>
      </w:tr>
      <w:tr w14:paraId="34EFE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56C87572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634E6F34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530D0118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3.3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人所交付产品、工程或服务不符合其投标承诺的，或在投标阶段为了中标而盲目虚假承诺、低价恶性竞争，在履约阶段则通过偷工减料、以次充好而获取利润的，将被履约评价工作实施机构评为履约等级“差”并按主管部门相关规定处理。</w:t>
            </w:r>
          </w:p>
        </w:tc>
      </w:tr>
      <w:tr w14:paraId="7C56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73" w:type="pct"/>
            <w:vAlign w:val="center"/>
          </w:tcPr>
          <w:p w14:paraId="71CED207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96" w:type="pct"/>
            <w:vAlign w:val="center"/>
          </w:tcPr>
          <w:p w14:paraId="265C539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关于付款</w:t>
            </w:r>
          </w:p>
        </w:tc>
        <w:tc>
          <w:tcPr>
            <w:tcW w:w="3331" w:type="pct"/>
            <w:vAlign w:val="center"/>
          </w:tcPr>
          <w:p w14:paraId="3EFFF491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在项目全面验收合格并收到中标人提供的相应发票后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天内，支付合同总额的1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0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%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3BD2D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10EE66B5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196" w:type="pct"/>
            <w:vAlign w:val="center"/>
          </w:tcPr>
          <w:p w14:paraId="24E6F46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关于报价</w:t>
            </w:r>
          </w:p>
        </w:tc>
        <w:tc>
          <w:tcPr>
            <w:tcW w:w="3331" w:type="pct"/>
            <w:vAlign w:val="center"/>
          </w:tcPr>
          <w:p w14:paraId="4B3B44FF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报价以人民币报价，为工地交货价。货物总价内包含但不限于的相关费用有：原材料和配件费、深化设计、生产加工、安装、调试，通过有关主管部门的验收，运至合同指定地点的包装、运输、装卸、安装，技术培训，检查、检验，以及保修、利润、风险金、国家规定的各项税费。</w:t>
            </w:r>
          </w:p>
        </w:tc>
      </w:tr>
      <w:tr w14:paraId="79C61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2296EDA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196" w:type="pct"/>
            <w:vAlign w:val="center"/>
          </w:tcPr>
          <w:p w14:paraId="13284B55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包装及运输要求</w:t>
            </w:r>
          </w:p>
        </w:tc>
        <w:tc>
          <w:tcPr>
            <w:tcW w:w="3331" w:type="pct"/>
            <w:vAlign w:val="center"/>
          </w:tcPr>
          <w:p w14:paraId="0BDEB4AE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本次采购的设备和材料必须是全新的，所有设备运输到达施工场地时的包装必须是原厂完整的。</w:t>
            </w:r>
          </w:p>
        </w:tc>
      </w:tr>
      <w:tr w14:paraId="4281A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408EC88F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196" w:type="pct"/>
            <w:vAlign w:val="center"/>
          </w:tcPr>
          <w:p w14:paraId="40B0FEC6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技术培训</w:t>
            </w:r>
          </w:p>
        </w:tc>
        <w:tc>
          <w:tcPr>
            <w:tcW w:w="3331" w:type="pct"/>
            <w:vAlign w:val="center"/>
          </w:tcPr>
          <w:p w14:paraId="612AD030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投标人提供详细技术资料并免费按采购人要求进行技术培训。培训的内容及方案应由双方协商制定。投标人前来进行技术培训人员的费用包括在合同总价中。</w:t>
            </w:r>
          </w:p>
        </w:tc>
      </w:tr>
      <w:tr w14:paraId="7416B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0414631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196" w:type="pct"/>
            <w:vMerge w:val="restart"/>
            <w:vAlign w:val="center"/>
          </w:tcPr>
          <w:p w14:paraId="1D2A9A6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争议的解决</w:t>
            </w:r>
          </w:p>
        </w:tc>
        <w:tc>
          <w:tcPr>
            <w:tcW w:w="3331" w:type="pct"/>
            <w:vAlign w:val="center"/>
          </w:tcPr>
          <w:p w14:paraId="0672904E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.1凡因执行项目合同所发生的或与本合同有关的一切争议，双方应通过友好协商解决。</w:t>
            </w:r>
          </w:p>
        </w:tc>
      </w:tr>
      <w:tr w14:paraId="3EDFE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25B24799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43718A07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75C91963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.2如果协商还不能解决，应提交深圳仲裁委员会，按其仲裁规则和程序在深圳进行仲裁。仲裁裁决应为最终裁决，对双方均具有约束力。</w:t>
            </w:r>
          </w:p>
        </w:tc>
      </w:tr>
      <w:tr w14:paraId="55365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2F6A6113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196" w:type="pct"/>
            <w:vMerge w:val="restart"/>
            <w:vAlign w:val="center"/>
          </w:tcPr>
          <w:p w14:paraId="1F1AF36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质量及知识产权要求</w:t>
            </w:r>
          </w:p>
        </w:tc>
        <w:tc>
          <w:tcPr>
            <w:tcW w:w="3331" w:type="pct"/>
            <w:vAlign w:val="center"/>
          </w:tcPr>
          <w:p w14:paraId="67F8F75B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.1中标人提供完好、全新的原包装产品（包括零配件），随机技术资料齐全。产品符合国家质量检测标准，应具有生产日期、厂名、厂址、产品合格证等。</w:t>
            </w:r>
          </w:p>
        </w:tc>
      </w:tr>
      <w:tr w14:paraId="6221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2035B440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4750B3E5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7E123E51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.2采购人使用该货物或货物的任何一部分时，免受第三方提出的侵犯其专利权、商标权或工业设计权等知识产权的起诉或司法干预。</w:t>
            </w:r>
          </w:p>
          <w:p w14:paraId="1CED995F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如果发生上述起诉或干预，则其法律责任均由中标人负责，造成的一切损害赔偿及损失由中标人承担，包括但不限于实际损失、预期损失和对方要求赔偿损失及支出的律师费、交通费和差旅费等，并按照“其它商务要求”中的“违约责任”承担相应责任。</w:t>
            </w:r>
          </w:p>
        </w:tc>
      </w:tr>
      <w:tr w14:paraId="08F53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3D1F96C0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196" w:type="pct"/>
            <w:vMerge w:val="restart"/>
            <w:vAlign w:val="center"/>
          </w:tcPr>
          <w:p w14:paraId="7FE72B86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不可抗力</w:t>
            </w:r>
          </w:p>
        </w:tc>
        <w:tc>
          <w:tcPr>
            <w:tcW w:w="3331" w:type="pct"/>
            <w:vAlign w:val="center"/>
          </w:tcPr>
          <w:p w14:paraId="627DA379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1签约双方任一方由于受到不可抗力的影响而不能执行合同时，应在不可抗力事件发生后尽快用电报、传真或电传通知另一方，并于事件发生后15天内将有关当局出具的证明文件用特快专递寄给另一方审阅确认。履行合同的期限相应予以延长，其延长的期限相当于事件所影响的时间。</w:t>
            </w:r>
          </w:p>
        </w:tc>
      </w:tr>
      <w:tr w14:paraId="11F63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41B60D44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0027B29D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0DFBDA66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.2不可抗力事件系指买卖双方在缔结合同时所不能预见的，并且它的发生及其是无法避免和无法克服的事件，诸如战争、严重火灾、洪水、台风、瘟疫、地震等。</w:t>
            </w:r>
          </w:p>
        </w:tc>
      </w:tr>
      <w:bookmarkEnd w:id="0"/>
    </w:tbl>
    <w:p w14:paraId="2DEAE5DC">
      <w:pPr>
        <w:rPr>
          <w:rFonts w:ascii="宋体" w:hAnsi="宋体" w:eastAsia="宋体"/>
          <w:lang w:eastAsia="zh-CN"/>
        </w:rPr>
      </w:pPr>
    </w:p>
    <w:sectPr>
      <w:headerReference r:id="rId3" w:type="default"/>
      <w:pgSz w:w="11900" w:h="16840"/>
      <w:pgMar w:top="1440" w:right="1077" w:bottom="1418" w:left="107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jaVu Sans">
    <w:altName w:val="Verdana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Hiragino Sans GB W3">
    <w:altName w:val="微软雅黑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D4BAB">
    <w:pPr>
      <w:pStyle w:val="8"/>
      <w:jc w:val="center"/>
    </w:pPr>
    <w:r>
      <w:drawing>
        <wp:inline distT="0" distB="0" distL="0" distR="0">
          <wp:extent cx="6184900" cy="855345"/>
          <wp:effectExtent l="0" t="0" r="6350" b="1905"/>
          <wp:docPr id="125228944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289445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4900" cy="855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CA51B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82"/>
    <w:rsid w:val="00002CA7"/>
    <w:rsid w:val="0002004C"/>
    <w:rsid w:val="00023DE4"/>
    <w:rsid w:val="00024777"/>
    <w:rsid w:val="00042B7B"/>
    <w:rsid w:val="00045537"/>
    <w:rsid w:val="0005381A"/>
    <w:rsid w:val="000545D9"/>
    <w:rsid w:val="0006004D"/>
    <w:rsid w:val="00060A19"/>
    <w:rsid w:val="00067165"/>
    <w:rsid w:val="00070E24"/>
    <w:rsid w:val="00094F66"/>
    <w:rsid w:val="000A652A"/>
    <w:rsid w:val="000D5ADC"/>
    <w:rsid w:val="000E1784"/>
    <w:rsid w:val="000E3738"/>
    <w:rsid w:val="000E72A2"/>
    <w:rsid w:val="000F351B"/>
    <w:rsid w:val="000F79E4"/>
    <w:rsid w:val="00111D98"/>
    <w:rsid w:val="00122C74"/>
    <w:rsid w:val="0012357A"/>
    <w:rsid w:val="00131785"/>
    <w:rsid w:val="00131FED"/>
    <w:rsid w:val="001347EA"/>
    <w:rsid w:val="001348FE"/>
    <w:rsid w:val="00134C46"/>
    <w:rsid w:val="00136023"/>
    <w:rsid w:val="001460D8"/>
    <w:rsid w:val="0015248D"/>
    <w:rsid w:val="00181472"/>
    <w:rsid w:val="00183394"/>
    <w:rsid w:val="00183B8B"/>
    <w:rsid w:val="001847E7"/>
    <w:rsid w:val="0018763B"/>
    <w:rsid w:val="00193547"/>
    <w:rsid w:val="001A060B"/>
    <w:rsid w:val="001A2E16"/>
    <w:rsid w:val="001B587C"/>
    <w:rsid w:val="001C399E"/>
    <w:rsid w:val="001C52F2"/>
    <w:rsid w:val="001C566D"/>
    <w:rsid w:val="001D0FE8"/>
    <w:rsid w:val="001D2CE1"/>
    <w:rsid w:val="001D3BDB"/>
    <w:rsid w:val="001E2C6F"/>
    <w:rsid w:val="001E5804"/>
    <w:rsid w:val="001F032F"/>
    <w:rsid w:val="001F14DF"/>
    <w:rsid w:val="001F3E74"/>
    <w:rsid w:val="001F5C47"/>
    <w:rsid w:val="001F6EA0"/>
    <w:rsid w:val="001F7F6C"/>
    <w:rsid w:val="0021435D"/>
    <w:rsid w:val="00215C98"/>
    <w:rsid w:val="002219EF"/>
    <w:rsid w:val="00225D65"/>
    <w:rsid w:val="00226A01"/>
    <w:rsid w:val="002546D0"/>
    <w:rsid w:val="002631B5"/>
    <w:rsid w:val="00273BAB"/>
    <w:rsid w:val="002740CB"/>
    <w:rsid w:val="002826DB"/>
    <w:rsid w:val="002872A1"/>
    <w:rsid w:val="00294B5C"/>
    <w:rsid w:val="002A08CA"/>
    <w:rsid w:val="002A0989"/>
    <w:rsid w:val="002A5FF7"/>
    <w:rsid w:val="002B19CC"/>
    <w:rsid w:val="002C366C"/>
    <w:rsid w:val="002C6FA2"/>
    <w:rsid w:val="002C709B"/>
    <w:rsid w:val="002D095D"/>
    <w:rsid w:val="002D64F3"/>
    <w:rsid w:val="002E4A63"/>
    <w:rsid w:val="002F0215"/>
    <w:rsid w:val="002F4BE8"/>
    <w:rsid w:val="003007CF"/>
    <w:rsid w:val="00306B99"/>
    <w:rsid w:val="003105EE"/>
    <w:rsid w:val="00313EDB"/>
    <w:rsid w:val="0032040F"/>
    <w:rsid w:val="00321217"/>
    <w:rsid w:val="00321336"/>
    <w:rsid w:val="00326633"/>
    <w:rsid w:val="00330116"/>
    <w:rsid w:val="00332B48"/>
    <w:rsid w:val="00342AE9"/>
    <w:rsid w:val="00344661"/>
    <w:rsid w:val="00344CB0"/>
    <w:rsid w:val="003557A9"/>
    <w:rsid w:val="003609EC"/>
    <w:rsid w:val="00373DBA"/>
    <w:rsid w:val="00394BA4"/>
    <w:rsid w:val="003A1756"/>
    <w:rsid w:val="003A6097"/>
    <w:rsid w:val="003A7495"/>
    <w:rsid w:val="003A7811"/>
    <w:rsid w:val="003D128F"/>
    <w:rsid w:val="003E1D8E"/>
    <w:rsid w:val="003E425C"/>
    <w:rsid w:val="00404C8D"/>
    <w:rsid w:val="004075A2"/>
    <w:rsid w:val="00414E5E"/>
    <w:rsid w:val="0042206C"/>
    <w:rsid w:val="004332D9"/>
    <w:rsid w:val="0044074B"/>
    <w:rsid w:val="00442D82"/>
    <w:rsid w:val="00452283"/>
    <w:rsid w:val="0045788D"/>
    <w:rsid w:val="00470F84"/>
    <w:rsid w:val="0047120A"/>
    <w:rsid w:val="00471736"/>
    <w:rsid w:val="00471BBF"/>
    <w:rsid w:val="004755BD"/>
    <w:rsid w:val="004758CA"/>
    <w:rsid w:val="00480E6A"/>
    <w:rsid w:val="00480FAD"/>
    <w:rsid w:val="004834B6"/>
    <w:rsid w:val="00487585"/>
    <w:rsid w:val="00493E8F"/>
    <w:rsid w:val="004962B3"/>
    <w:rsid w:val="004A2CE1"/>
    <w:rsid w:val="004A56B6"/>
    <w:rsid w:val="004A77D2"/>
    <w:rsid w:val="004B2D0B"/>
    <w:rsid w:val="004C0738"/>
    <w:rsid w:val="004C1087"/>
    <w:rsid w:val="004D174D"/>
    <w:rsid w:val="004E024E"/>
    <w:rsid w:val="004E12AF"/>
    <w:rsid w:val="004E7CB7"/>
    <w:rsid w:val="0053031A"/>
    <w:rsid w:val="00530F29"/>
    <w:rsid w:val="00535FD2"/>
    <w:rsid w:val="00537D66"/>
    <w:rsid w:val="00542FF9"/>
    <w:rsid w:val="00543BAE"/>
    <w:rsid w:val="00550C30"/>
    <w:rsid w:val="00552634"/>
    <w:rsid w:val="005538F4"/>
    <w:rsid w:val="005643DC"/>
    <w:rsid w:val="00571D40"/>
    <w:rsid w:val="005779E8"/>
    <w:rsid w:val="00582D13"/>
    <w:rsid w:val="00585E18"/>
    <w:rsid w:val="0058628E"/>
    <w:rsid w:val="00586348"/>
    <w:rsid w:val="00594B77"/>
    <w:rsid w:val="00595929"/>
    <w:rsid w:val="00597D6C"/>
    <w:rsid w:val="005A1409"/>
    <w:rsid w:val="005A570A"/>
    <w:rsid w:val="005B2549"/>
    <w:rsid w:val="005C29FB"/>
    <w:rsid w:val="005C62C2"/>
    <w:rsid w:val="005C72A5"/>
    <w:rsid w:val="005E5F2F"/>
    <w:rsid w:val="005F15AE"/>
    <w:rsid w:val="00622A1C"/>
    <w:rsid w:val="006244F6"/>
    <w:rsid w:val="00634D56"/>
    <w:rsid w:val="00656536"/>
    <w:rsid w:val="00656C5A"/>
    <w:rsid w:val="006604A6"/>
    <w:rsid w:val="006650C4"/>
    <w:rsid w:val="00680239"/>
    <w:rsid w:val="006817C8"/>
    <w:rsid w:val="0068413F"/>
    <w:rsid w:val="00687AB9"/>
    <w:rsid w:val="00687B0A"/>
    <w:rsid w:val="00692C89"/>
    <w:rsid w:val="006967D2"/>
    <w:rsid w:val="00697A02"/>
    <w:rsid w:val="006A2085"/>
    <w:rsid w:val="006B0AF7"/>
    <w:rsid w:val="006B2A24"/>
    <w:rsid w:val="006B6041"/>
    <w:rsid w:val="006C60A0"/>
    <w:rsid w:val="006E04DB"/>
    <w:rsid w:val="006E3352"/>
    <w:rsid w:val="006E3EB6"/>
    <w:rsid w:val="006E49AC"/>
    <w:rsid w:val="006E6467"/>
    <w:rsid w:val="0071052B"/>
    <w:rsid w:val="00722D86"/>
    <w:rsid w:val="00725209"/>
    <w:rsid w:val="007253F9"/>
    <w:rsid w:val="007257AA"/>
    <w:rsid w:val="007320AF"/>
    <w:rsid w:val="00740768"/>
    <w:rsid w:val="0075053C"/>
    <w:rsid w:val="00754B74"/>
    <w:rsid w:val="00755C8A"/>
    <w:rsid w:val="007651AC"/>
    <w:rsid w:val="00773BC8"/>
    <w:rsid w:val="0078020B"/>
    <w:rsid w:val="00796D40"/>
    <w:rsid w:val="007B2B48"/>
    <w:rsid w:val="007B4471"/>
    <w:rsid w:val="007B476D"/>
    <w:rsid w:val="007B5659"/>
    <w:rsid w:val="007C0B0A"/>
    <w:rsid w:val="007D2F91"/>
    <w:rsid w:val="007D5FC2"/>
    <w:rsid w:val="007E120C"/>
    <w:rsid w:val="007E4447"/>
    <w:rsid w:val="007E5F42"/>
    <w:rsid w:val="007F2BEA"/>
    <w:rsid w:val="007F5B08"/>
    <w:rsid w:val="00802CAF"/>
    <w:rsid w:val="008230B5"/>
    <w:rsid w:val="008233B2"/>
    <w:rsid w:val="008237F4"/>
    <w:rsid w:val="00827CB0"/>
    <w:rsid w:val="008313E4"/>
    <w:rsid w:val="00833BFF"/>
    <w:rsid w:val="00847CA6"/>
    <w:rsid w:val="00855B2A"/>
    <w:rsid w:val="00862D9C"/>
    <w:rsid w:val="00877E26"/>
    <w:rsid w:val="008B6132"/>
    <w:rsid w:val="008C6DE7"/>
    <w:rsid w:val="008D1BFD"/>
    <w:rsid w:val="008D2DEF"/>
    <w:rsid w:val="008F1B7A"/>
    <w:rsid w:val="008F5698"/>
    <w:rsid w:val="008F63AC"/>
    <w:rsid w:val="00910118"/>
    <w:rsid w:val="00912557"/>
    <w:rsid w:val="00927BB6"/>
    <w:rsid w:val="00932382"/>
    <w:rsid w:val="00936F2D"/>
    <w:rsid w:val="0094481F"/>
    <w:rsid w:val="00945501"/>
    <w:rsid w:val="009502F1"/>
    <w:rsid w:val="00951D2C"/>
    <w:rsid w:val="00956D95"/>
    <w:rsid w:val="009629C7"/>
    <w:rsid w:val="009663A9"/>
    <w:rsid w:val="0096649D"/>
    <w:rsid w:val="00971C0E"/>
    <w:rsid w:val="00973052"/>
    <w:rsid w:val="00993BC9"/>
    <w:rsid w:val="0099405B"/>
    <w:rsid w:val="009A1205"/>
    <w:rsid w:val="009A300B"/>
    <w:rsid w:val="009B083E"/>
    <w:rsid w:val="009B1F1E"/>
    <w:rsid w:val="009C422F"/>
    <w:rsid w:val="009C688B"/>
    <w:rsid w:val="009D328B"/>
    <w:rsid w:val="009D548B"/>
    <w:rsid w:val="009E2D9F"/>
    <w:rsid w:val="009E5B3D"/>
    <w:rsid w:val="009F1C22"/>
    <w:rsid w:val="00A1652F"/>
    <w:rsid w:val="00A206AC"/>
    <w:rsid w:val="00A20CC7"/>
    <w:rsid w:val="00A2339E"/>
    <w:rsid w:val="00A36FD6"/>
    <w:rsid w:val="00A507D7"/>
    <w:rsid w:val="00A50FAA"/>
    <w:rsid w:val="00A61D7F"/>
    <w:rsid w:val="00A660E5"/>
    <w:rsid w:val="00A709A9"/>
    <w:rsid w:val="00A76443"/>
    <w:rsid w:val="00AA6D6B"/>
    <w:rsid w:val="00AB100D"/>
    <w:rsid w:val="00AC4BA4"/>
    <w:rsid w:val="00AD00B3"/>
    <w:rsid w:val="00AE1E86"/>
    <w:rsid w:val="00AE5EEC"/>
    <w:rsid w:val="00AF1577"/>
    <w:rsid w:val="00AF5766"/>
    <w:rsid w:val="00B0127C"/>
    <w:rsid w:val="00B04729"/>
    <w:rsid w:val="00B115FF"/>
    <w:rsid w:val="00B25150"/>
    <w:rsid w:val="00B34D1E"/>
    <w:rsid w:val="00B4604D"/>
    <w:rsid w:val="00B46F9F"/>
    <w:rsid w:val="00B52FED"/>
    <w:rsid w:val="00B6166C"/>
    <w:rsid w:val="00B663CE"/>
    <w:rsid w:val="00B75D05"/>
    <w:rsid w:val="00B76257"/>
    <w:rsid w:val="00B8308F"/>
    <w:rsid w:val="00B84E5A"/>
    <w:rsid w:val="00B87876"/>
    <w:rsid w:val="00B96908"/>
    <w:rsid w:val="00BB383C"/>
    <w:rsid w:val="00BC67D8"/>
    <w:rsid w:val="00BD1496"/>
    <w:rsid w:val="00BD51D7"/>
    <w:rsid w:val="00BE0BB9"/>
    <w:rsid w:val="00BE1F69"/>
    <w:rsid w:val="00BF3E11"/>
    <w:rsid w:val="00C057A4"/>
    <w:rsid w:val="00C07556"/>
    <w:rsid w:val="00C121C1"/>
    <w:rsid w:val="00C14F53"/>
    <w:rsid w:val="00C22951"/>
    <w:rsid w:val="00C36AC7"/>
    <w:rsid w:val="00C40736"/>
    <w:rsid w:val="00C41522"/>
    <w:rsid w:val="00C5664D"/>
    <w:rsid w:val="00C61CDB"/>
    <w:rsid w:val="00C65A9C"/>
    <w:rsid w:val="00C72F9D"/>
    <w:rsid w:val="00C74261"/>
    <w:rsid w:val="00C747DD"/>
    <w:rsid w:val="00C84240"/>
    <w:rsid w:val="00C92429"/>
    <w:rsid w:val="00CA1173"/>
    <w:rsid w:val="00CA772C"/>
    <w:rsid w:val="00CB4D09"/>
    <w:rsid w:val="00CB5089"/>
    <w:rsid w:val="00CB5918"/>
    <w:rsid w:val="00CC18F4"/>
    <w:rsid w:val="00CD5F5C"/>
    <w:rsid w:val="00CD6B70"/>
    <w:rsid w:val="00CF1DEF"/>
    <w:rsid w:val="00CF5F3B"/>
    <w:rsid w:val="00CF61AC"/>
    <w:rsid w:val="00D101DE"/>
    <w:rsid w:val="00D110E7"/>
    <w:rsid w:val="00D148FE"/>
    <w:rsid w:val="00D163CD"/>
    <w:rsid w:val="00D16E3E"/>
    <w:rsid w:val="00D21B45"/>
    <w:rsid w:val="00D21D0E"/>
    <w:rsid w:val="00D269B8"/>
    <w:rsid w:val="00D31949"/>
    <w:rsid w:val="00D33B76"/>
    <w:rsid w:val="00D465F5"/>
    <w:rsid w:val="00D55EE8"/>
    <w:rsid w:val="00D6384F"/>
    <w:rsid w:val="00D71BEF"/>
    <w:rsid w:val="00D7201D"/>
    <w:rsid w:val="00D72DE3"/>
    <w:rsid w:val="00DB2259"/>
    <w:rsid w:val="00DB310A"/>
    <w:rsid w:val="00DD0857"/>
    <w:rsid w:val="00DF2B23"/>
    <w:rsid w:val="00DF569C"/>
    <w:rsid w:val="00DF7125"/>
    <w:rsid w:val="00E00D9D"/>
    <w:rsid w:val="00E0447C"/>
    <w:rsid w:val="00E14C1C"/>
    <w:rsid w:val="00E15CDC"/>
    <w:rsid w:val="00E15DE0"/>
    <w:rsid w:val="00E40824"/>
    <w:rsid w:val="00E453E9"/>
    <w:rsid w:val="00E46162"/>
    <w:rsid w:val="00E554B6"/>
    <w:rsid w:val="00E6076A"/>
    <w:rsid w:val="00E61389"/>
    <w:rsid w:val="00E847F0"/>
    <w:rsid w:val="00E860D2"/>
    <w:rsid w:val="00EA2D0A"/>
    <w:rsid w:val="00EB3752"/>
    <w:rsid w:val="00EB5EEB"/>
    <w:rsid w:val="00ED4192"/>
    <w:rsid w:val="00EE23D6"/>
    <w:rsid w:val="00EE7160"/>
    <w:rsid w:val="00EE7B2C"/>
    <w:rsid w:val="00EF2DFB"/>
    <w:rsid w:val="00EF4660"/>
    <w:rsid w:val="00EF5654"/>
    <w:rsid w:val="00EF6F9A"/>
    <w:rsid w:val="00F034BD"/>
    <w:rsid w:val="00F13CCE"/>
    <w:rsid w:val="00F17903"/>
    <w:rsid w:val="00F27322"/>
    <w:rsid w:val="00F41DFF"/>
    <w:rsid w:val="00F42BFA"/>
    <w:rsid w:val="00F448B9"/>
    <w:rsid w:val="00F52483"/>
    <w:rsid w:val="00F52574"/>
    <w:rsid w:val="00F55DC1"/>
    <w:rsid w:val="00F57751"/>
    <w:rsid w:val="00F63D4E"/>
    <w:rsid w:val="00F67975"/>
    <w:rsid w:val="00F82CAC"/>
    <w:rsid w:val="00F834B4"/>
    <w:rsid w:val="00F84963"/>
    <w:rsid w:val="00F85F48"/>
    <w:rsid w:val="00F87AD4"/>
    <w:rsid w:val="00F90F1A"/>
    <w:rsid w:val="00FB730E"/>
    <w:rsid w:val="00FC49A6"/>
    <w:rsid w:val="00FC54C2"/>
    <w:rsid w:val="00FD1A67"/>
    <w:rsid w:val="00FF1759"/>
    <w:rsid w:val="00FF25D2"/>
    <w:rsid w:val="00FF3E33"/>
    <w:rsid w:val="00FF6A6A"/>
    <w:rsid w:val="04E13A78"/>
    <w:rsid w:val="078A5B80"/>
    <w:rsid w:val="0BA64B09"/>
    <w:rsid w:val="0F5F4932"/>
    <w:rsid w:val="10BA7019"/>
    <w:rsid w:val="173D0264"/>
    <w:rsid w:val="19B23B47"/>
    <w:rsid w:val="1A172B2E"/>
    <w:rsid w:val="1A227401"/>
    <w:rsid w:val="1AA72BF2"/>
    <w:rsid w:val="1C232517"/>
    <w:rsid w:val="235469F9"/>
    <w:rsid w:val="255C24B7"/>
    <w:rsid w:val="27C60350"/>
    <w:rsid w:val="29883446"/>
    <w:rsid w:val="2AB328E9"/>
    <w:rsid w:val="2C797E24"/>
    <w:rsid w:val="2C884E64"/>
    <w:rsid w:val="2CD21A78"/>
    <w:rsid w:val="39357970"/>
    <w:rsid w:val="39AB0B37"/>
    <w:rsid w:val="42682F77"/>
    <w:rsid w:val="478672F5"/>
    <w:rsid w:val="4B7A6B04"/>
    <w:rsid w:val="4DDF79D2"/>
    <w:rsid w:val="4F471CD3"/>
    <w:rsid w:val="517F7502"/>
    <w:rsid w:val="534810B6"/>
    <w:rsid w:val="53C177CE"/>
    <w:rsid w:val="624C05D4"/>
    <w:rsid w:val="63CC5EC3"/>
    <w:rsid w:val="64786BFA"/>
    <w:rsid w:val="6BE057BA"/>
    <w:rsid w:val="6F0569FA"/>
    <w:rsid w:val="7C163879"/>
    <w:rsid w:val="7EE0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2"/>
    <w:basedOn w:val="3"/>
    <w:next w:val="4"/>
    <w:link w:val="21"/>
    <w:unhideWhenUsed/>
    <w:qFormat/>
    <w:uiPriority w:val="0"/>
    <w:pPr>
      <w:widowControl w:val="0"/>
      <w:spacing w:line="413" w:lineRule="auto"/>
      <w:jc w:val="both"/>
      <w:outlineLvl w:val="1"/>
    </w:pPr>
    <w:rPr>
      <w:rFonts w:ascii="DejaVu Sans" w:hAnsi="DejaVu Sans" w:eastAsia="Hiragino Sans GB W3" w:cs="Times New Roman"/>
      <w:kern w:val="2"/>
      <w:sz w:val="30"/>
      <w:lang w:eastAsia="zh-CN"/>
    </w:rPr>
  </w:style>
  <w:style w:type="paragraph" w:styleId="3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6"/>
    <w:semiHidden/>
    <w:unhideWhenUsed/>
    <w:qFormat/>
    <w:uiPriority w:val="99"/>
    <w:pPr>
      <w:spacing w:after="120"/>
    </w:pPr>
  </w:style>
  <w:style w:type="paragraph" w:styleId="6">
    <w:name w:val="Body Text Indent"/>
    <w:basedOn w:val="1"/>
    <w:link w:val="22"/>
    <w:semiHidden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320"/>
        <w:tab w:val="right" w:pos="8640"/>
      </w:tabs>
    </w:p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320"/>
        <w:tab w:val="right" w:pos="8640"/>
      </w:tabs>
    </w:pPr>
  </w:style>
  <w:style w:type="paragraph" w:styleId="9">
    <w:name w:val="Normal (Web)"/>
    <w:basedOn w:val="1"/>
    <w:qFormat/>
    <w:uiPriority w:val="0"/>
    <w:pPr>
      <w:widowControl w:val="0"/>
      <w:spacing w:before="100" w:beforeAutospacing="1" w:after="100" w:afterAutospacing="1"/>
    </w:pPr>
    <w:rPr>
      <w:rFonts w:ascii="Calibri" w:hAnsi="Calibri" w:eastAsia="宋体" w:cs="Times New Roman"/>
      <w:lang w:eastAsia="zh-CN"/>
    </w:rPr>
  </w:style>
  <w:style w:type="paragraph" w:styleId="10">
    <w:name w:val="Body Text First Indent 2"/>
    <w:basedOn w:val="6"/>
    <w:link w:val="23"/>
    <w:unhideWhenUsed/>
    <w:qFormat/>
    <w:uiPriority w:val="99"/>
    <w:pPr>
      <w:widowControl w:val="0"/>
      <w:spacing w:line="360" w:lineRule="auto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1"/>
      <w:lang w:eastAsia="zh-CN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脚 字符"/>
    <w:basedOn w:val="13"/>
    <w:link w:val="7"/>
    <w:qFormat/>
    <w:uiPriority w:val="99"/>
    <w:rPr>
      <w:kern w:val="0"/>
      <w:sz w:val="24"/>
      <w:szCs w:val="24"/>
      <w:lang w:eastAsia="en-US"/>
    </w:rPr>
  </w:style>
  <w:style w:type="character" w:customStyle="1" w:styleId="17">
    <w:name w:val="页眉 字符"/>
    <w:basedOn w:val="13"/>
    <w:link w:val="8"/>
    <w:qFormat/>
    <w:uiPriority w:val="99"/>
    <w:rPr>
      <w:kern w:val="0"/>
      <w:sz w:val="24"/>
      <w:szCs w:val="24"/>
      <w:lang w:eastAsia="en-US"/>
    </w:rPr>
  </w:style>
  <w:style w:type="table" w:customStyle="1" w:styleId="18">
    <w:name w:val="网格型浅色1"/>
    <w:basedOn w:val="11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标题 2 字符"/>
    <w:basedOn w:val="13"/>
    <w:link w:val="2"/>
    <w:qFormat/>
    <w:uiPriority w:val="0"/>
    <w:rPr>
      <w:rFonts w:ascii="DejaVu Sans" w:hAnsi="DejaVu Sans" w:eastAsia="Hiragino Sans GB W3" w:cs="Times New Roman"/>
      <w:b/>
      <w:bCs/>
      <w:sz w:val="30"/>
      <w:szCs w:val="32"/>
    </w:rPr>
  </w:style>
  <w:style w:type="character" w:customStyle="1" w:styleId="22">
    <w:name w:val="正文文本缩进 字符"/>
    <w:basedOn w:val="13"/>
    <w:link w:val="6"/>
    <w:semiHidden/>
    <w:qFormat/>
    <w:uiPriority w:val="99"/>
    <w:rPr>
      <w:kern w:val="0"/>
      <w:sz w:val="24"/>
      <w:szCs w:val="24"/>
      <w:lang w:eastAsia="en-US"/>
    </w:rPr>
  </w:style>
  <w:style w:type="character" w:customStyle="1" w:styleId="23">
    <w:name w:val="正文文本首行缩进 2 字符"/>
    <w:basedOn w:val="22"/>
    <w:link w:val="10"/>
    <w:qFormat/>
    <w:uiPriority w:val="99"/>
    <w:rPr>
      <w:rFonts w:ascii="Calibri" w:hAnsi="Calibri" w:eastAsia="宋体" w:cs="Times New Roman"/>
      <w:kern w:val="0"/>
      <w:sz w:val="24"/>
      <w:szCs w:val="21"/>
      <w:lang w:eastAsia="en-US"/>
    </w:rPr>
  </w:style>
  <w:style w:type="character" w:customStyle="1" w:styleId="24">
    <w:name w:val="标题 3 字符"/>
    <w:basedOn w:val="13"/>
    <w:link w:val="3"/>
    <w:semiHidden/>
    <w:qFormat/>
    <w:uiPriority w:val="9"/>
    <w:rPr>
      <w:b/>
      <w:bCs/>
      <w:kern w:val="0"/>
      <w:sz w:val="32"/>
      <w:szCs w:val="32"/>
      <w:lang w:eastAsia="en-US"/>
    </w:rPr>
  </w:style>
  <w:style w:type="character" w:customStyle="1" w:styleId="25">
    <w:name w:val="标题 4 字符"/>
    <w:basedOn w:val="13"/>
    <w:link w:val="4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  <w:lang w:eastAsia="en-US"/>
    </w:rPr>
  </w:style>
  <w:style w:type="character" w:customStyle="1" w:styleId="26">
    <w:name w:val="正文文本 字符"/>
    <w:basedOn w:val="13"/>
    <w:link w:val="5"/>
    <w:semiHidden/>
    <w:qFormat/>
    <w:uiPriority w:val="99"/>
    <w:rPr>
      <w:kern w:val="0"/>
      <w:sz w:val="24"/>
      <w:szCs w:val="24"/>
      <w:lang w:eastAsia="en-US"/>
    </w:rPr>
  </w:style>
  <w:style w:type="table" w:customStyle="1" w:styleId="27">
    <w:name w:val="网格型1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1791</Words>
  <Characters>1873</Characters>
  <Lines>128</Lines>
  <Paragraphs>124</Paragraphs>
  <TotalTime>6</TotalTime>
  <ScaleCrop>false</ScaleCrop>
  <LinksUpToDate>false</LinksUpToDate>
  <CharactersWithSpaces>2075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2022-06-01T03:34:00Z</dcterms:created>
  <dc:creator>Emily Z</dc:creator>
  <cp:lastModifiedBy>Dandelion</cp:lastModifiedBy>
  <cp:lastPrinted>2022-07-07T14:50:00Z</cp:lastPrinted>
  <dcterms:modified xsi:type="dcterms:W3CDTF">2025-11-25T00:48:00Z</dcterms:modified>
  <cp:revision>331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eyJoZGlkIjoiNGFiMjY5NzQ2YTEwM2UyOTc2YWYxM2I2YjRmN2E2MjQiLCJ1c2VySWQiOiI3MzM3NDg3OTgifQ==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53114B532CE14D82AEE67B322C08239C_12</vt:lpwstr>
  </property>
</Properties>
</file>