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42CA53">
      <w:pPr>
        <w:rPr>
          <w:rFonts w:ascii="方正小标宋简体" w:hAnsi="Times New Roman" w:eastAsia="方正小标宋简体" w:cs="Times New Roman"/>
          <w:b/>
          <w:bCs/>
          <w:kern w:val="2"/>
          <w:sz w:val="28"/>
          <w:szCs w:val="28"/>
          <w:lang w:eastAsia="zh-CN"/>
        </w:rPr>
      </w:pPr>
      <w:r>
        <w:rPr>
          <w:rFonts w:hint="eastAsia" w:ascii="方正小标宋简体" w:hAnsi="Times New Roman" w:eastAsia="方正小标宋简体" w:cs="Times New Roman"/>
          <w:b/>
          <w:bCs/>
          <w:kern w:val="2"/>
          <w:sz w:val="28"/>
          <w:szCs w:val="28"/>
          <w:lang w:eastAsia="zh-CN"/>
        </w:rPr>
        <w:t>附件：★深圳外国语学校弘知高中2025年田径运动会塑料凳采购项目（SWGZY2025015）需求计划</w:t>
      </w:r>
    </w:p>
    <w:p w14:paraId="6858B92D">
      <w:pPr>
        <w:rPr>
          <w:rFonts w:ascii="宋体" w:hAnsi="宋体" w:eastAsia="宋体"/>
          <w:color w:val="000000"/>
          <w:sz w:val="21"/>
          <w:szCs w:val="21"/>
          <w:lang w:eastAsia="zh-CN"/>
        </w:rPr>
      </w:pPr>
    </w:p>
    <w:p w14:paraId="2EC4EA2F">
      <w:pPr>
        <w:rPr>
          <w:rFonts w:ascii="宋体" w:hAnsi="宋体" w:eastAsia="宋体"/>
          <w:b/>
          <w:bCs/>
          <w:color w:val="FF0000"/>
          <w:sz w:val="21"/>
          <w:szCs w:val="21"/>
          <w:lang w:eastAsia="zh-CN"/>
        </w:rPr>
      </w:pPr>
      <w:r>
        <w:rPr>
          <w:rFonts w:hint="eastAsia" w:ascii="宋体" w:hAnsi="宋体" w:eastAsia="宋体"/>
          <w:b/>
          <w:bCs/>
          <w:color w:val="FF0000"/>
          <w:sz w:val="21"/>
          <w:szCs w:val="21"/>
          <w:lang w:eastAsia="zh-CN"/>
        </w:rPr>
        <w:t>带“★”指标项为实质性条款，如出现负偏离，将被视为未实质性满足招标文件要求作投标无效处理。</w:t>
      </w:r>
    </w:p>
    <w:p w14:paraId="5358EA0F">
      <w:pPr>
        <w:rPr>
          <w:rFonts w:ascii="宋体" w:hAnsi="宋体" w:eastAsia="宋体"/>
          <w:color w:val="000000"/>
          <w:sz w:val="21"/>
          <w:szCs w:val="21"/>
          <w:lang w:eastAsia="zh-CN"/>
        </w:rPr>
      </w:pPr>
    </w:p>
    <w:p w14:paraId="15182B40">
      <w:pPr>
        <w:rPr>
          <w:rFonts w:ascii="宋体" w:hAnsi="宋体" w:eastAsia="宋体"/>
          <w:color w:val="000000"/>
          <w:sz w:val="21"/>
          <w:szCs w:val="21"/>
          <w:lang w:eastAsia="zh-CN"/>
        </w:rPr>
      </w:pPr>
      <w:r>
        <w:rPr>
          <w:rFonts w:hint="eastAsia" w:ascii="宋体" w:hAnsi="宋体" w:eastAsia="宋体"/>
          <w:color w:val="000000"/>
          <w:sz w:val="21"/>
          <w:szCs w:val="21"/>
          <w:lang w:eastAsia="zh-CN"/>
        </w:rPr>
        <w:t>一、货物清单</w:t>
      </w:r>
    </w:p>
    <w:tbl>
      <w:tblPr>
        <w:tblStyle w:val="12"/>
        <w:tblW w:w="4995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1"/>
        <w:gridCol w:w="2877"/>
        <w:gridCol w:w="1153"/>
        <w:gridCol w:w="1153"/>
        <w:gridCol w:w="3818"/>
      </w:tblGrid>
      <w:tr w14:paraId="5F0FB3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78" w:type="pct"/>
            <w:vAlign w:val="center"/>
          </w:tcPr>
          <w:p w14:paraId="5B3FFC02">
            <w:pPr>
              <w:jc w:val="center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445" w:type="pct"/>
            <w:vAlign w:val="center"/>
          </w:tcPr>
          <w:p w14:paraId="40B3B6B0">
            <w:pPr>
              <w:jc w:val="center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货物名称</w:t>
            </w:r>
          </w:p>
        </w:tc>
        <w:tc>
          <w:tcPr>
            <w:tcW w:w="579" w:type="pct"/>
            <w:vAlign w:val="center"/>
          </w:tcPr>
          <w:p w14:paraId="49744F3C">
            <w:pPr>
              <w:jc w:val="center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数量</w:t>
            </w:r>
          </w:p>
        </w:tc>
        <w:tc>
          <w:tcPr>
            <w:tcW w:w="579" w:type="pct"/>
            <w:vAlign w:val="center"/>
          </w:tcPr>
          <w:p w14:paraId="0E108DB6">
            <w:pPr>
              <w:jc w:val="center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单位</w:t>
            </w:r>
          </w:p>
        </w:tc>
        <w:tc>
          <w:tcPr>
            <w:tcW w:w="1918" w:type="pct"/>
            <w:vAlign w:val="center"/>
          </w:tcPr>
          <w:p w14:paraId="2C193B96">
            <w:pPr>
              <w:jc w:val="center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参考图片</w:t>
            </w:r>
          </w:p>
        </w:tc>
      </w:tr>
      <w:tr w14:paraId="11F74A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478" w:type="pct"/>
            <w:vAlign w:val="center"/>
          </w:tcPr>
          <w:p w14:paraId="78612118">
            <w:pPr>
              <w:jc w:val="center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1445" w:type="pct"/>
            <w:vAlign w:val="center"/>
          </w:tcPr>
          <w:p w14:paraId="413F90E7">
            <w:pPr>
              <w:jc w:val="center"/>
              <w:rPr>
                <w:rFonts w:hint="default" w:ascii="宋体" w:hAnsi="宋体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塑料凳</w:t>
            </w:r>
          </w:p>
        </w:tc>
        <w:tc>
          <w:tcPr>
            <w:tcW w:w="579" w:type="pct"/>
            <w:vAlign w:val="center"/>
          </w:tcPr>
          <w:p w14:paraId="3EA6B912">
            <w:pPr>
              <w:jc w:val="center"/>
              <w:rPr>
                <w:rFonts w:hint="default" w:ascii="宋体" w:hAnsi="宋体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3500</w:t>
            </w:r>
            <w:bookmarkStart w:id="1" w:name="_GoBack"/>
            <w:bookmarkEnd w:id="1"/>
          </w:p>
        </w:tc>
        <w:tc>
          <w:tcPr>
            <w:tcW w:w="579" w:type="pct"/>
            <w:vAlign w:val="center"/>
          </w:tcPr>
          <w:p w14:paraId="1D16C880">
            <w:pPr>
              <w:jc w:val="center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张</w:t>
            </w:r>
          </w:p>
        </w:tc>
        <w:tc>
          <w:tcPr>
            <w:tcW w:w="1918" w:type="pct"/>
            <w:vAlign w:val="center"/>
          </w:tcPr>
          <w:p w14:paraId="0E168BA1">
            <w:pPr>
              <w:jc w:val="center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vertAlign w:val="baseline"/>
                <w:lang w:eastAsia="zh-CN"/>
              </w:rPr>
              <w:drawing>
                <wp:inline distT="0" distB="0" distL="114300" distR="114300">
                  <wp:extent cx="1337310" cy="1310005"/>
                  <wp:effectExtent l="0" t="0" r="15240" b="4445"/>
                  <wp:docPr id="1" name="图片 1" descr="凳子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凳子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7310" cy="1310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61DD42C">
      <w:pPr>
        <w:rPr>
          <w:rFonts w:ascii="宋体" w:hAnsi="宋体" w:eastAsia="宋体"/>
          <w:color w:val="000000"/>
          <w:sz w:val="21"/>
          <w:szCs w:val="21"/>
          <w:lang w:eastAsia="zh-CN"/>
        </w:rPr>
      </w:pPr>
    </w:p>
    <w:p w14:paraId="116147AC">
      <w:pPr>
        <w:rPr>
          <w:rFonts w:ascii="宋体" w:hAnsi="宋体" w:eastAsia="宋体"/>
          <w:color w:val="000000"/>
          <w:sz w:val="21"/>
          <w:szCs w:val="21"/>
          <w:lang w:eastAsia="zh-CN"/>
        </w:rPr>
      </w:pPr>
      <w:r>
        <w:rPr>
          <w:rFonts w:hint="eastAsia" w:ascii="宋体" w:hAnsi="宋体" w:eastAsia="宋体"/>
          <w:color w:val="000000"/>
          <w:sz w:val="21"/>
          <w:szCs w:val="21"/>
          <w:lang w:eastAsia="zh-CN"/>
        </w:rPr>
        <w:t>二、★技术要求</w:t>
      </w:r>
    </w:p>
    <w:tbl>
      <w:tblPr>
        <w:tblStyle w:val="12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2"/>
        <w:gridCol w:w="1148"/>
        <w:gridCol w:w="1768"/>
        <w:gridCol w:w="6134"/>
      </w:tblGrid>
      <w:tr w14:paraId="7975FE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8" w:type="pct"/>
            <w:vAlign w:val="center"/>
          </w:tcPr>
          <w:p w14:paraId="5C0740FD">
            <w:pPr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Times New Roman"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576" w:type="pct"/>
            <w:vAlign w:val="center"/>
          </w:tcPr>
          <w:p w14:paraId="1D5509E5">
            <w:pPr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Times New Roman"/>
                <w:color w:val="000000"/>
                <w:sz w:val="21"/>
                <w:szCs w:val="21"/>
                <w:lang w:eastAsia="zh-CN"/>
              </w:rPr>
              <w:t>货物名称</w:t>
            </w:r>
          </w:p>
        </w:tc>
        <w:tc>
          <w:tcPr>
            <w:tcW w:w="887" w:type="pct"/>
          </w:tcPr>
          <w:p w14:paraId="626963D1">
            <w:pPr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Times New Roman"/>
                <w:color w:val="000000"/>
                <w:sz w:val="21"/>
                <w:szCs w:val="21"/>
                <w:lang w:eastAsia="zh-CN"/>
              </w:rPr>
              <w:t>参数类别</w:t>
            </w:r>
          </w:p>
        </w:tc>
        <w:tc>
          <w:tcPr>
            <w:tcW w:w="3078" w:type="pct"/>
          </w:tcPr>
          <w:p w14:paraId="002729AA">
            <w:pPr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Times New Roman"/>
                <w:color w:val="000000"/>
                <w:sz w:val="21"/>
                <w:szCs w:val="21"/>
                <w:lang w:eastAsia="zh-CN"/>
              </w:rPr>
              <w:t>技术规格与描述</w:t>
            </w:r>
          </w:p>
        </w:tc>
      </w:tr>
      <w:tr w14:paraId="73B632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8" w:type="pct"/>
            <w:vMerge w:val="restart"/>
            <w:vAlign w:val="center"/>
          </w:tcPr>
          <w:p w14:paraId="3EC39AB5">
            <w:pPr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Times New Roman"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576" w:type="pct"/>
            <w:vMerge w:val="restart"/>
            <w:vAlign w:val="center"/>
          </w:tcPr>
          <w:p w14:paraId="7112EA8B">
            <w:pPr>
              <w:jc w:val="center"/>
              <w:rPr>
                <w:rFonts w:hint="default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  <w:t>塑料凳</w:t>
            </w:r>
          </w:p>
        </w:tc>
        <w:tc>
          <w:tcPr>
            <w:tcW w:w="887" w:type="pct"/>
          </w:tcPr>
          <w:p w14:paraId="7DBCB9B3">
            <w:pPr>
              <w:jc w:val="center"/>
              <w:rPr>
                <w:rFonts w:hint="default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  <w:t>材质厚度</w:t>
            </w:r>
          </w:p>
        </w:tc>
        <w:tc>
          <w:tcPr>
            <w:tcW w:w="3078" w:type="pct"/>
          </w:tcPr>
          <w:p w14:paraId="6B030458">
            <w:pPr>
              <w:rPr>
                <w:rFonts w:hint="eastAsia" w:ascii="宋体" w:hAnsi="宋体" w:eastAsia="宋体" w:cs="Times New Roman"/>
                <w:color w:val="0F1115"/>
                <w:sz w:val="22"/>
                <w:szCs w:val="22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F1115"/>
                <w:sz w:val="22"/>
                <w:szCs w:val="22"/>
                <w:shd w:val="clear" w:color="auto" w:fill="FFFFFF"/>
                <w:lang w:val="en-US" w:eastAsia="zh-CN"/>
              </w:rPr>
              <w:t xml:space="preserve">整体：采用PP材质，整体PP材质厚度≥4mm； </w:t>
            </w:r>
          </w:p>
          <w:p w14:paraId="4C2CF4BF">
            <w:pPr>
              <w:rPr>
                <w:rFonts w:hint="eastAsia" w:ascii="宋体" w:hAnsi="宋体" w:eastAsia="宋体" w:cs="Times New Roman"/>
                <w:color w:val="0F1115"/>
                <w:sz w:val="22"/>
                <w:szCs w:val="22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F1115"/>
                <w:sz w:val="22"/>
                <w:szCs w:val="22"/>
                <w:shd w:val="clear" w:color="auto" w:fill="FFFFFF"/>
                <w:lang w:val="en-US" w:eastAsia="zh-CN"/>
              </w:rPr>
              <w:t xml:space="preserve">脚垫：采用橡胶材质，厚度≥3mm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14:paraId="4B7B81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8" w:type="pct"/>
            <w:vMerge w:val="continue"/>
            <w:vAlign w:val="center"/>
          </w:tcPr>
          <w:p w14:paraId="5190E807">
            <w:pPr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576" w:type="pct"/>
            <w:vMerge w:val="continue"/>
            <w:vAlign w:val="center"/>
          </w:tcPr>
          <w:p w14:paraId="22E27213">
            <w:pPr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887" w:type="pct"/>
          </w:tcPr>
          <w:p w14:paraId="643F17DF">
            <w:pPr>
              <w:jc w:val="center"/>
              <w:rPr>
                <w:rFonts w:hint="default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  <w:t>产品颜色</w:t>
            </w:r>
          </w:p>
        </w:tc>
        <w:tc>
          <w:tcPr>
            <w:tcW w:w="3078" w:type="pct"/>
          </w:tcPr>
          <w:p w14:paraId="63839F1A">
            <w:pPr>
              <w:rPr>
                <w:rFonts w:hint="eastAsia" w:ascii="宋体" w:hAnsi="宋体" w:eastAsia="宋体" w:cs="Times New Roman"/>
                <w:color w:val="0F1115"/>
                <w:sz w:val="22"/>
                <w:szCs w:val="22"/>
                <w:shd w:val="clear" w:color="auto" w:fill="FFFFFF"/>
                <w:lang w:eastAsia="zh-CN"/>
              </w:rPr>
            </w:pPr>
            <w:r>
              <w:rPr>
                <w:rFonts w:hint="eastAsia" w:ascii="宋体" w:hAnsi="宋体" w:eastAsia="宋体" w:cs="Times New Roman"/>
                <w:color w:val="0F1115"/>
                <w:sz w:val="22"/>
                <w:szCs w:val="22"/>
                <w:shd w:val="clear" w:color="auto" w:fill="FFFFFF"/>
                <w:lang w:val="en-US" w:eastAsia="zh-CN"/>
              </w:rPr>
              <w:t>橘黄色</w:t>
            </w:r>
          </w:p>
        </w:tc>
      </w:tr>
      <w:tr w14:paraId="4B2634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8" w:type="pct"/>
            <w:vMerge w:val="continue"/>
            <w:vAlign w:val="center"/>
          </w:tcPr>
          <w:p w14:paraId="4BC00A2B">
            <w:pPr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576" w:type="pct"/>
            <w:vMerge w:val="continue"/>
            <w:vAlign w:val="center"/>
          </w:tcPr>
          <w:p w14:paraId="1C74128F">
            <w:pPr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887" w:type="pct"/>
          </w:tcPr>
          <w:p w14:paraId="65B5A975">
            <w:pPr>
              <w:jc w:val="center"/>
              <w:rPr>
                <w:rFonts w:hint="default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  <w:t>尺寸规格</w:t>
            </w:r>
          </w:p>
        </w:tc>
        <w:tc>
          <w:tcPr>
            <w:tcW w:w="3078" w:type="pct"/>
          </w:tcPr>
          <w:p w14:paraId="683AE65E">
            <w:pPr>
              <w:rPr>
                <w:rFonts w:hint="eastAsia" w:ascii="宋体" w:hAnsi="宋体" w:eastAsia="宋体" w:cs="Times New Roman"/>
                <w:color w:val="0F1115"/>
                <w:sz w:val="22"/>
                <w:szCs w:val="22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F1115"/>
                <w:sz w:val="22"/>
                <w:szCs w:val="22"/>
                <w:shd w:val="clear" w:color="auto" w:fill="FFFFFF"/>
                <w:lang w:val="en-US" w:eastAsia="zh-CN"/>
              </w:rPr>
              <w:t>φ300*H460mm（±5mm）</w:t>
            </w:r>
          </w:p>
        </w:tc>
      </w:tr>
      <w:tr w14:paraId="739E8E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8" w:type="pct"/>
            <w:vMerge w:val="continue"/>
            <w:vAlign w:val="center"/>
          </w:tcPr>
          <w:p w14:paraId="7589688C">
            <w:pPr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576" w:type="pct"/>
            <w:vMerge w:val="continue"/>
            <w:vAlign w:val="center"/>
          </w:tcPr>
          <w:p w14:paraId="40B14638">
            <w:pPr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887" w:type="pct"/>
          </w:tcPr>
          <w:p w14:paraId="6ABC7826">
            <w:pPr>
              <w:jc w:val="center"/>
              <w:rPr>
                <w:rFonts w:hint="default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  <w:t>结构细节</w:t>
            </w:r>
          </w:p>
        </w:tc>
        <w:tc>
          <w:tcPr>
            <w:tcW w:w="3078" w:type="pct"/>
          </w:tcPr>
          <w:p w14:paraId="03C93FE3">
            <w:pPr>
              <w:rPr>
                <w:rFonts w:hint="eastAsia" w:ascii="宋体" w:hAnsi="宋体" w:eastAsia="宋体" w:cs="Times New Roman"/>
                <w:color w:val="0F1115"/>
                <w:sz w:val="22"/>
                <w:szCs w:val="22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F1115"/>
                <w:sz w:val="22"/>
                <w:szCs w:val="22"/>
                <w:shd w:val="clear" w:color="auto" w:fill="FFFFFF"/>
                <w:lang w:val="en-US" w:eastAsia="zh-CN"/>
              </w:rPr>
              <w:t>座面采用风车造型设计，中部有φ≥20mm透气孔</w:t>
            </w:r>
          </w:p>
        </w:tc>
      </w:tr>
      <w:tr w14:paraId="079610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8" w:type="pct"/>
            <w:vMerge w:val="continue"/>
            <w:vAlign w:val="center"/>
          </w:tcPr>
          <w:p w14:paraId="74C6BC83">
            <w:pPr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576" w:type="pct"/>
            <w:vMerge w:val="continue"/>
            <w:vAlign w:val="center"/>
          </w:tcPr>
          <w:p w14:paraId="03D9CCFF">
            <w:pPr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887" w:type="pct"/>
          </w:tcPr>
          <w:p w14:paraId="58ECCC8E">
            <w:pPr>
              <w:jc w:val="center"/>
              <w:rPr>
                <w:rFonts w:hint="default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  <w:t>工艺要求</w:t>
            </w:r>
          </w:p>
        </w:tc>
        <w:tc>
          <w:tcPr>
            <w:tcW w:w="3078" w:type="pct"/>
          </w:tcPr>
          <w:p w14:paraId="442DD9FC">
            <w:pPr>
              <w:rPr>
                <w:rFonts w:hint="eastAsia" w:ascii="宋体" w:hAnsi="宋体" w:eastAsia="宋体" w:cs="Times New Roman"/>
                <w:color w:val="0F1115"/>
                <w:sz w:val="22"/>
                <w:szCs w:val="22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F1115"/>
                <w:sz w:val="22"/>
                <w:szCs w:val="22"/>
                <w:shd w:val="clear" w:color="auto" w:fill="FFFFFF"/>
                <w:lang w:val="en-US" w:eastAsia="zh-CN"/>
              </w:rPr>
              <w:t>整体采用一体注塑工艺</w:t>
            </w:r>
          </w:p>
        </w:tc>
      </w:tr>
      <w:tr w14:paraId="5E8066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8" w:type="pct"/>
            <w:vMerge w:val="continue"/>
            <w:vAlign w:val="center"/>
          </w:tcPr>
          <w:p w14:paraId="6B5D66F9">
            <w:pPr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576" w:type="pct"/>
            <w:vMerge w:val="continue"/>
            <w:vAlign w:val="center"/>
          </w:tcPr>
          <w:p w14:paraId="044D72F3">
            <w:pPr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887" w:type="pct"/>
          </w:tcPr>
          <w:p w14:paraId="2CCDC626">
            <w:pPr>
              <w:jc w:val="center"/>
              <w:rPr>
                <w:rFonts w:hint="default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  <w:t>性能指标</w:t>
            </w:r>
          </w:p>
        </w:tc>
        <w:tc>
          <w:tcPr>
            <w:tcW w:w="3078" w:type="pct"/>
          </w:tcPr>
          <w:p w14:paraId="04E8942E">
            <w:pPr>
              <w:rPr>
                <w:rFonts w:hint="eastAsia" w:ascii="宋体" w:hAnsi="宋体" w:eastAsia="宋体" w:cs="Times New Roman"/>
                <w:color w:val="0F1115"/>
                <w:sz w:val="22"/>
                <w:szCs w:val="22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F1115"/>
                <w:sz w:val="22"/>
                <w:szCs w:val="22"/>
                <w:shd w:val="clear" w:color="auto" w:fill="FFFFFF"/>
                <w:lang w:val="en-US" w:eastAsia="zh-CN"/>
              </w:rPr>
              <w:t>整体能承受75KG重量不变形</w:t>
            </w:r>
          </w:p>
        </w:tc>
      </w:tr>
    </w:tbl>
    <w:p w14:paraId="22332AE5">
      <w:pPr>
        <w:rPr>
          <w:rFonts w:ascii="宋体" w:hAnsi="宋体" w:eastAsia="宋体"/>
          <w:color w:val="000000"/>
          <w:sz w:val="21"/>
          <w:szCs w:val="21"/>
          <w:lang w:eastAsia="zh-CN"/>
        </w:rPr>
      </w:pPr>
    </w:p>
    <w:p w14:paraId="33FC1D0A">
      <w:pPr>
        <w:rPr>
          <w:rFonts w:ascii="宋体" w:hAnsi="宋体" w:eastAsia="宋体"/>
          <w:b/>
        </w:rPr>
      </w:pPr>
      <w:r>
        <w:rPr>
          <w:rFonts w:hint="eastAsia" w:ascii="宋体" w:hAnsi="宋体" w:eastAsia="宋体"/>
          <w:color w:val="000000"/>
          <w:sz w:val="21"/>
          <w:szCs w:val="21"/>
          <w:lang w:eastAsia="zh-CN"/>
        </w:rPr>
        <w:t>三、商务需求</w:t>
      </w:r>
    </w:p>
    <w:tbl>
      <w:tblPr>
        <w:tblStyle w:val="11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2"/>
        <w:gridCol w:w="2383"/>
        <w:gridCol w:w="6637"/>
      </w:tblGrid>
      <w:tr w14:paraId="111EA1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73" w:type="pct"/>
            <w:vAlign w:val="center"/>
          </w:tcPr>
          <w:p w14:paraId="69F2DD13">
            <w:pPr>
              <w:widowControl w:val="0"/>
              <w:jc w:val="center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  <w:bookmarkStart w:id="0" w:name="_Hlk157098517"/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96" w:type="pct"/>
            <w:vAlign w:val="center"/>
          </w:tcPr>
          <w:p w14:paraId="251816F1">
            <w:pPr>
              <w:widowControl w:val="0"/>
              <w:jc w:val="center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目录</w:t>
            </w:r>
          </w:p>
        </w:tc>
        <w:tc>
          <w:tcPr>
            <w:tcW w:w="3331" w:type="pct"/>
            <w:vAlign w:val="center"/>
          </w:tcPr>
          <w:p w14:paraId="2834EAC0">
            <w:pPr>
              <w:widowControl w:val="0"/>
              <w:jc w:val="center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招标商务需求</w:t>
            </w:r>
          </w:p>
        </w:tc>
      </w:tr>
      <w:tr w14:paraId="1C03A9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000" w:type="pct"/>
            <w:gridSpan w:val="3"/>
            <w:vAlign w:val="center"/>
          </w:tcPr>
          <w:p w14:paraId="5F214FEA">
            <w:pPr>
              <w:widowControl w:val="0"/>
              <w:jc w:val="center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（一）免费保修期内售后服务要求</w:t>
            </w:r>
          </w:p>
        </w:tc>
      </w:tr>
      <w:tr w14:paraId="11503F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73" w:type="pct"/>
            <w:vAlign w:val="center"/>
          </w:tcPr>
          <w:p w14:paraId="53946AF1">
            <w:pPr>
              <w:widowControl w:val="0"/>
              <w:jc w:val="center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1196" w:type="pct"/>
            <w:vAlign w:val="center"/>
          </w:tcPr>
          <w:p w14:paraId="7FD775DD">
            <w:pPr>
              <w:widowControl w:val="0"/>
              <w:jc w:val="center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免费保修期</w:t>
            </w:r>
          </w:p>
        </w:tc>
        <w:tc>
          <w:tcPr>
            <w:tcW w:w="3331" w:type="pct"/>
            <w:vAlign w:val="center"/>
          </w:tcPr>
          <w:p w14:paraId="07D1A915">
            <w:pPr>
              <w:widowControl w:val="0"/>
              <w:jc w:val="both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 xml:space="preserve">★货物免费保修期 </w:t>
            </w:r>
            <w:r>
              <w:rPr>
                <w:rFonts w:hint="eastAsia" w:ascii="宋体" w:hAnsi="宋体" w:eastAsia="宋体"/>
                <w:b/>
                <w:bCs/>
                <w:color w:val="000000"/>
                <w:sz w:val="21"/>
                <w:szCs w:val="21"/>
                <w:u w:val="single"/>
                <w:lang w:val="en-US" w:eastAsia="zh-CN"/>
              </w:rPr>
              <w:t>1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 xml:space="preserve"> 年，时间自最终验收合格并交付使用之日起计算。</w:t>
            </w:r>
          </w:p>
        </w:tc>
      </w:tr>
      <w:tr w14:paraId="6944B3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73" w:type="pct"/>
            <w:vAlign w:val="center"/>
          </w:tcPr>
          <w:p w14:paraId="4EA4E0E5">
            <w:pPr>
              <w:widowControl w:val="0"/>
              <w:jc w:val="center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196" w:type="pct"/>
            <w:vAlign w:val="center"/>
          </w:tcPr>
          <w:p w14:paraId="265484E3">
            <w:pPr>
              <w:widowControl w:val="0"/>
              <w:jc w:val="center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维修响应及故障解决时间</w:t>
            </w:r>
          </w:p>
        </w:tc>
        <w:tc>
          <w:tcPr>
            <w:tcW w:w="3331" w:type="pct"/>
            <w:vAlign w:val="center"/>
          </w:tcPr>
          <w:p w14:paraId="137ACE30">
            <w:pPr>
              <w:widowControl w:val="0"/>
              <w:jc w:val="both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在保修期内，一旦发生质量问题，投标人保证在接到通知24小时内赶到现场进行修理或更换。</w:t>
            </w:r>
          </w:p>
        </w:tc>
      </w:tr>
      <w:tr w14:paraId="74C50B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000" w:type="pct"/>
            <w:gridSpan w:val="3"/>
            <w:vAlign w:val="center"/>
          </w:tcPr>
          <w:p w14:paraId="0B988222">
            <w:pPr>
              <w:widowControl w:val="0"/>
              <w:jc w:val="center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（二）免费保修期外售后服务要求</w:t>
            </w:r>
          </w:p>
        </w:tc>
      </w:tr>
      <w:tr w14:paraId="5E8B59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73" w:type="pct"/>
            <w:vAlign w:val="center"/>
          </w:tcPr>
          <w:p w14:paraId="46691D15">
            <w:pPr>
              <w:widowControl w:val="0"/>
              <w:jc w:val="center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1196" w:type="pct"/>
            <w:vAlign w:val="center"/>
          </w:tcPr>
          <w:p w14:paraId="498D8F5C">
            <w:pPr>
              <w:widowControl w:val="0"/>
              <w:jc w:val="center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关于维修响应</w:t>
            </w:r>
          </w:p>
        </w:tc>
        <w:tc>
          <w:tcPr>
            <w:tcW w:w="3331" w:type="pct"/>
            <w:vAlign w:val="center"/>
          </w:tcPr>
          <w:p w14:paraId="56C1A95E">
            <w:pPr>
              <w:widowControl w:val="0"/>
              <w:jc w:val="both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在免费保修期外，一旦发生质量问题，投标人保证在接到通知</w:t>
            </w:r>
            <w:r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  <w:t>24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小时内赶到现场进行修理或更换。</w:t>
            </w:r>
          </w:p>
        </w:tc>
      </w:tr>
      <w:tr w14:paraId="1B53EA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73" w:type="pct"/>
            <w:vAlign w:val="center"/>
          </w:tcPr>
          <w:p w14:paraId="22E3789A">
            <w:pPr>
              <w:widowControl w:val="0"/>
              <w:jc w:val="center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196" w:type="pct"/>
            <w:vAlign w:val="center"/>
          </w:tcPr>
          <w:p w14:paraId="0B96669E">
            <w:pPr>
              <w:widowControl w:val="0"/>
              <w:jc w:val="center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关于收费</w:t>
            </w:r>
          </w:p>
        </w:tc>
        <w:tc>
          <w:tcPr>
            <w:tcW w:w="3331" w:type="pct"/>
            <w:vAlign w:val="center"/>
          </w:tcPr>
          <w:p w14:paraId="23EB777E">
            <w:pPr>
              <w:widowControl w:val="0"/>
              <w:jc w:val="both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★在免费保修期外，投标人必须继续支持维修，免收上门服务费，并按成本价标准收取零配件费用。</w:t>
            </w:r>
          </w:p>
        </w:tc>
      </w:tr>
      <w:tr w14:paraId="564D6D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000" w:type="pct"/>
            <w:gridSpan w:val="3"/>
            <w:vAlign w:val="center"/>
          </w:tcPr>
          <w:p w14:paraId="7D4B8C2C">
            <w:pPr>
              <w:widowControl w:val="0"/>
              <w:jc w:val="center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（三）其他商务要求</w:t>
            </w:r>
          </w:p>
        </w:tc>
      </w:tr>
      <w:tr w14:paraId="7ED423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73" w:type="pct"/>
            <w:vMerge w:val="restart"/>
            <w:vAlign w:val="center"/>
          </w:tcPr>
          <w:p w14:paraId="7366B314">
            <w:pPr>
              <w:widowControl w:val="0"/>
              <w:jc w:val="center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1196" w:type="pct"/>
            <w:vMerge w:val="restart"/>
            <w:vAlign w:val="center"/>
          </w:tcPr>
          <w:p w14:paraId="45F1087E">
            <w:pPr>
              <w:widowControl w:val="0"/>
              <w:jc w:val="center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关于交货</w:t>
            </w:r>
          </w:p>
        </w:tc>
        <w:tc>
          <w:tcPr>
            <w:tcW w:w="3331" w:type="pct"/>
            <w:vAlign w:val="center"/>
          </w:tcPr>
          <w:p w14:paraId="4ADF97EC">
            <w:pPr>
              <w:widowControl w:val="0"/>
              <w:jc w:val="both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  <w:t>1.1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交货地点：深圳市光明区马田街道深圳外国语学校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高中园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（校内具体地点由采购人指定）。</w:t>
            </w:r>
          </w:p>
        </w:tc>
      </w:tr>
      <w:tr w14:paraId="4C395D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73" w:type="pct"/>
            <w:vMerge w:val="continue"/>
            <w:vAlign w:val="center"/>
          </w:tcPr>
          <w:p w14:paraId="2B716534">
            <w:pPr>
              <w:widowControl w:val="0"/>
              <w:jc w:val="center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1196" w:type="pct"/>
            <w:vMerge w:val="continue"/>
            <w:vAlign w:val="center"/>
          </w:tcPr>
          <w:p w14:paraId="3844361C">
            <w:pPr>
              <w:widowControl w:val="0"/>
              <w:jc w:val="center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3331" w:type="pct"/>
            <w:vAlign w:val="center"/>
          </w:tcPr>
          <w:p w14:paraId="2BDCAF2F">
            <w:pPr>
              <w:widowControl w:val="0"/>
              <w:jc w:val="both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★</w:t>
            </w:r>
            <w:r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  <w:t>1.2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投标人必须承担的设备运输、安装调试、验收检测和提供设备操作说明书、图纸等其他类似的义务。</w:t>
            </w:r>
          </w:p>
        </w:tc>
      </w:tr>
      <w:tr w14:paraId="5A1996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73" w:type="pct"/>
            <w:vMerge w:val="continue"/>
            <w:vAlign w:val="center"/>
          </w:tcPr>
          <w:p w14:paraId="4FD1CAAF">
            <w:pPr>
              <w:widowControl w:val="0"/>
              <w:jc w:val="center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1196" w:type="pct"/>
            <w:vMerge w:val="continue"/>
            <w:vAlign w:val="center"/>
          </w:tcPr>
          <w:p w14:paraId="3E5983A6">
            <w:pPr>
              <w:widowControl w:val="0"/>
              <w:jc w:val="center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3331" w:type="pct"/>
            <w:vAlign w:val="center"/>
          </w:tcPr>
          <w:p w14:paraId="0B1C5C9C">
            <w:pPr>
              <w:widowControl w:val="0"/>
              <w:jc w:val="both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★</w:t>
            </w:r>
            <w:r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  <w:t>1.3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签订合同后</w:t>
            </w:r>
            <w:r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  <w:t>15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天（日历日）内交货。</w:t>
            </w:r>
          </w:p>
        </w:tc>
      </w:tr>
      <w:tr w14:paraId="436E3C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73" w:type="pct"/>
            <w:vMerge w:val="restart"/>
            <w:vAlign w:val="center"/>
          </w:tcPr>
          <w:p w14:paraId="22A8DD33">
            <w:pPr>
              <w:widowControl w:val="0"/>
              <w:jc w:val="center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196" w:type="pct"/>
            <w:vMerge w:val="restart"/>
            <w:vAlign w:val="center"/>
          </w:tcPr>
          <w:p w14:paraId="433AA859">
            <w:pPr>
              <w:widowControl w:val="0"/>
              <w:jc w:val="center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关于验收</w:t>
            </w:r>
          </w:p>
        </w:tc>
        <w:tc>
          <w:tcPr>
            <w:tcW w:w="3331" w:type="pct"/>
            <w:vAlign w:val="center"/>
          </w:tcPr>
          <w:p w14:paraId="3C59285D">
            <w:pPr>
              <w:widowControl w:val="0"/>
              <w:jc w:val="both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  <w:t>2.1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投标人货物经过双方检验认可后，签署验收报告，产品保修期自验收合格之日起算，由投标人提供产品保修文件。</w:t>
            </w:r>
          </w:p>
        </w:tc>
      </w:tr>
      <w:tr w14:paraId="76EA87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73" w:type="pct"/>
            <w:vMerge w:val="continue"/>
            <w:vAlign w:val="center"/>
          </w:tcPr>
          <w:p w14:paraId="7724DC7D">
            <w:pPr>
              <w:widowControl w:val="0"/>
              <w:jc w:val="center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1196" w:type="pct"/>
            <w:vMerge w:val="continue"/>
            <w:vAlign w:val="center"/>
          </w:tcPr>
          <w:p w14:paraId="5C2B99AD">
            <w:pPr>
              <w:widowControl w:val="0"/>
              <w:jc w:val="center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3331" w:type="pct"/>
            <w:vAlign w:val="center"/>
          </w:tcPr>
          <w:p w14:paraId="0FB35BD7">
            <w:pPr>
              <w:widowControl w:val="0"/>
              <w:jc w:val="both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  <w:t>2.2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当满足以下条件时，采购人才向投标人签发货物验收报告：</w:t>
            </w:r>
          </w:p>
          <w:p w14:paraId="6ED70059">
            <w:pPr>
              <w:widowControl w:val="0"/>
              <w:tabs>
                <w:tab w:val="left" w:pos="1260"/>
              </w:tabs>
              <w:jc w:val="both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  <w:t>a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、投标人已按照合同规定提供了全部产品及完整的技术资料。</w:t>
            </w:r>
          </w:p>
          <w:p w14:paraId="49354DD8">
            <w:pPr>
              <w:widowControl w:val="0"/>
              <w:tabs>
                <w:tab w:val="left" w:pos="1260"/>
              </w:tabs>
              <w:jc w:val="both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  <w:t>b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、货物符合招标文件技术规格书的要求，性能满足要求。</w:t>
            </w:r>
          </w:p>
          <w:p w14:paraId="1CF82685">
            <w:pPr>
              <w:widowControl w:val="0"/>
              <w:tabs>
                <w:tab w:val="left" w:pos="1260"/>
              </w:tabs>
              <w:jc w:val="both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  <w:t>c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、货物具备产品合格证。</w:t>
            </w:r>
          </w:p>
        </w:tc>
      </w:tr>
      <w:tr w14:paraId="3ACA66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73" w:type="pct"/>
            <w:vMerge w:val="restart"/>
            <w:vAlign w:val="center"/>
          </w:tcPr>
          <w:p w14:paraId="1E7006A6">
            <w:pPr>
              <w:widowControl w:val="0"/>
              <w:jc w:val="center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1196" w:type="pct"/>
            <w:vMerge w:val="restart"/>
            <w:vAlign w:val="center"/>
          </w:tcPr>
          <w:p w14:paraId="4ABBCD05">
            <w:pPr>
              <w:widowControl w:val="0"/>
              <w:jc w:val="center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关于违约</w:t>
            </w:r>
          </w:p>
        </w:tc>
        <w:tc>
          <w:tcPr>
            <w:tcW w:w="3331" w:type="pct"/>
            <w:vAlign w:val="center"/>
          </w:tcPr>
          <w:p w14:paraId="21B513EE">
            <w:pPr>
              <w:widowControl w:val="0"/>
              <w:jc w:val="both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  <w:t>3.1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投标人不能交货的，需偿付不能交货部分货款的</w:t>
            </w:r>
            <w:r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  <w:t>30%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的违约金并按主管部门相关规定处理。</w:t>
            </w:r>
          </w:p>
        </w:tc>
      </w:tr>
      <w:tr w14:paraId="30AC23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73" w:type="pct"/>
            <w:vMerge w:val="continue"/>
            <w:vAlign w:val="center"/>
          </w:tcPr>
          <w:p w14:paraId="01CB42ED">
            <w:pPr>
              <w:widowControl w:val="0"/>
              <w:jc w:val="center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1196" w:type="pct"/>
            <w:vMerge w:val="continue"/>
            <w:vAlign w:val="center"/>
          </w:tcPr>
          <w:p w14:paraId="6DD32C53">
            <w:pPr>
              <w:widowControl w:val="0"/>
              <w:jc w:val="center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3331" w:type="pct"/>
            <w:vAlign w:val="center"/>
          </w:tcPr>
          <w:p w14:paraId="59586F21">
            <w:pPr>
              <w:widowControl w:val="0"/>
              <w:jc w:val="both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3.2投标人逾期交货的，应向采购人每日支付合同总价千分之三的违约金，并按主管部门相关规定处理。</w:t>
            </w:r>
          </w:p>
        </w:tc>
      </w:tr>
      <w:tr w14:paraId="34EFE2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73" w:type="pct"/>
            <w:vMerge w:val="continue"/>
            <w:vAlign w:val="center"/>
          </w:tcPr>
          <w:p w14:paraId="56C87572">
            <w:pPr>
              <w:widowControl w:val="0"/>
              <w:jc w:val="center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1196" w:type="pct"/>
            <w:vMerge w:val="continue"/>
            <w:vAlign w:val="center"/>
          </w:tcPr>
          <w:p w14:paraId="634E6F34">
            <w:pPr>
              <w:widowControl w:val="0"/>
              <w:jc w:val="center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3331" w:type="pct"/>
            <w:vAlign w:val="center"/>
          </w:tcPr>
          <w:p w14:paraId="530D0118">
            <w:pPr>
              <w:widowControl w:val="0"/>
              <w:jc w:val="both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  <w:t>3.3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投标人所交付产品、工程或服务不符合其投标承诺的，或在投标阶段为了中标而盲目虚假承诺、低价恶性竞争，在履约阶段则通过偷工减料、以次充好而获取利润的，将被履约评价工作实施机构评为履约等级“差”并按主管部门相关规定处理。</w:t>
            </w:r>
          </w:p>
        </w:tc>
      </w:tr>
      <w:tr w14:paraId="7C562C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473" w:type="pct"/>
            <w:vAlign w:val="center"/>
          </w:tcPr>
          <w:p w14:paraId="71CED207">
            <w:pPr>
              <w:widowControl w:val="0"/>
              <w:jc w:val="center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1196" w:type="pct"/>
            <w:vAlign w:val="center"/>
          </w:tcPr>
          <w:p w14:paraId="265C539A">
            <w:pPr>
              <w:widowControl w:val="0"/>
              <w:jc w:val="center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关于付款</w:t>
            </w:r>
          </w:p>
        </w:tc>
        <w:tc>
          <w:tcPr>
            <w:tcW w:w="3331" w:type="pct"/>
            <w:vAlign w:val="center"/>
          </w:tcPr>
          <w:p w14:paraId="3EFFF491">
            <w:pPr>
              <w:widowControl w:val="0"/>
              <w:jc w:val="both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在项目全面验收合格并收到中标人提供的相应发票后</w:t>
            </w:r>
            <w:r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  <w:t>10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天内，支付合同总额的1</w:t>
            </w:r>
            <w:r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  <w:t>0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0</w:t>
            </w:r>
            <w:r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  <w:t>%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。</w:t>
            </w:r>
          </w:p>
        </w:tc>
      </w:tr>
      <w:tr w14:paraId="3BD2D7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73" w:type="pct"/>
            <w:vAlign w:val="center"/>
          </w:tcPr>
          <w:p w14:paraId="10EE66B5">
            <w:pPr>
              <w:widowControl w:val="0"/>
              <w:jc w:val="center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1196" w:type="pct"/>
            <w:vAlign w:val="center"/>
          </w:tcPr>
          <w:p w14:paraId="24E6F46A">
            <w:pPr>
              <w:widowControl w:val="0"/>
              <w:jc w:val="center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关于报价</w:t>
            </w:r>
          </w:p>
        </w:tc>
        <w:tc>
          <w:tcPr>
            <w:tcW w:w="3331" w:type="pct"/>
            <w:vAlign w:val="center"/>
          </w:tcPr>
          <w:p w14:paraId="4B3B44FF">
            <w:pPr>
              <w:widowControl w:val="0"/>
              <w:jc w:val="both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投标报价以人民币报价，为工地交货价。货物总价内包含但不限于的相关费用有：原材料和配件费、深化设计、生产加工、安装、调试，通过有关主管部门的验收，运至合同指定地点的包装、运输、装卸、安装，技术培训，检查、检验，以及保修、利润、风险金、国家规定的各项税费。</w:t>
            </w:r>
          </w:p>
        </w:tc>
      </w:tr>
      <w:tr w14:paraId="79C61E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73" w:type="pct"/>
            <w:vAlign w:val="center"/>
          </w:tcPr>
          <w:p w14:paraId="2296EDAA">
            <w:pPr>
              <w:widowControl w:val="0"/>
              <w:jc w:val="center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1196" w:type="pct"/>
            <w:vAlign w:val="center"/>
          </w:tcPr>
          <w:p w14:paraId="13284B55">
            <w:pPr>
              <w:widowControl w:val="0"/>
              <w:jc w:val="center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包装及运输要求</w:t>
            </w:r>
          </w:p>
        </w:tc>
        <w:tc>
          <w:tcPr>
            <w:tcW w:w="3331" w:type="pct"/>
            <w:vAlign w:val="center"/>
          </w:tcPr>
          <w:p w14:paraId="0BDEB4AE">
            <w:pPr>
              <w:widowControl w:val="0"/>
              <w:jc w:val="both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本次采购的设备和材料必须是全新的，所有设备运输到达施工场地时的包装必须是原厂完整的。</w:t>
            </w:r>
          </w:p>
        </w:tc>
      </w:tr>
      <w:tr w14:paraId="4281AE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73" w:type="pct"/>
            <w:vAlign w:val="center"/>
          </w:tcPr>
          <w:p w14:paraId="408EC88F">
            <w:pPr>
              <w:widowControl w:val="0"/>
              <w:jc w:val="center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1196" w:type="pct"/>
            <w:vAlign w:val="center"/>
          </w:tcPr>
          <w:p w14:paraId="40B0FEC6">
            <w:pPr>
              <w:widowControl w:val="0"/>
              <w:jc w:val="center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技术培训</w:t>
            </w:r>
          </w:p>
        </w:tc>
        <w:tc>
          <w:tcPr>
            <w:tcW w:w="3331" w:type="pct"/>
            <w:vAlign w:val="center"/>
          </w:tcPr>
          <w:p w14:paraId="612AD030">
            <w:pPr>
              <w:widowControl w:val="0"/>
              <w:jc w:val="both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投标人提供详细技术资料并免费按采购人要求进行技术培训。培训的内容及方案应由双方协商制定。投标人前来进行技术培训人员的费用包括在合同总价中。</w:t>
            </w:r>
          </w:p>
        </w:tc>
      </w:tr>
      <w:tr w14:paraId="7416B1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73" w:type="pct"/>
            <w:vMerge w:val="restart"/>
            <w:vAlign w:val="center"/>
          </w:tcPr>
          <w:p w14:paraId="0414631A">
            <w:pPr>
              <w:widowControl w:val="0"/>
              <w:jc w:val="center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1196" w:type="pct"/>
            <w:vMerge w:val="restart"/>
            <w:vAlign w:val="center"/>
          </w:tcPr>
          <w:p w14:paraId="1D2A9A6A">
            <w:pPr>
              <w:widowControl w:val="0"/>
              <w:jc w:val="center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争议的解决</w:t>
            </w:r>
          </w:p>
        </w:tc>
        <w:tc>
          <w:tcPr>
            <w:tcW w:w="3331" w:type="pct"/>
            <w:vAlign w:val="center"/>
          </w:tcPr>
          <w:p w14:paraId="0672904E">
            <w:pPr>
              <w:widowControl w:val="0"/>
              <w:jc w:val="both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  <w:t>8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.1凡因执行项目合同所发生的或与本合同有关的一切争议，双方应通过友好协商解决。</w:t>
            </w:r>
          </w:p>
        </w:tc>
      </w:tr>
      <w:tr w14:paraId="3EDFEB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73" w:type="pct"/>
            <w:vMerge w:val="continue"/>
            <w:vAlign w:val="center"/>
          </w:tcPr>
          <w:p w14:paraId="25B24799">
            <w:pPr>
              <w:widowControl w:val="0"/>
              <w:jc w:val="center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1196" w:type="pct"/>
            <w:vMerge w:val="continue"/>
            <w:vAlign w:val="center"/>
          </w:tcPr>
          <w:p w14:paraId="43718A07">
            <w:pPr>
              <w:widowControl w:val="0"/>
              <w:jc w:val="center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3331" w:type="pct"/>
            <w:vAlign w:val="center"/>
          </w:tcPr>
          <w:p w14:paraId="75C91963">
            <w:pPr>
              <w:widowControl w:val="0"/>
              <w:jc w:val="both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  <w:t>8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.2如果协商还不能解决，应提交深圳仲裁委员会，按其仲裁规则和程序在深圳进行仲裁。仲裁裁决应为最终裁决，对双方均具有约束力。</w:t>
            </w:r>
          </w:p>
        </w:tc>
      </w:tr>
      <w:tr w14:paraId="553653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73" w:type="pct"/>
            <w:vMerge w:val="restart"/>
            <w:vAlign w:val="center"/>
          </w:tcPr>
          <w:p w14:paraId="2F6A6113">
            <w:pPr>
              <w:widowControl w:val="0"/>
              <w:jc w:val="center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1196" w:type="pct"/>
            <w:vMerge w:val="restart"/>
            <w:vAlign w:val="center"/>
          </w:tcPr>
          <w:p w14:paraId="1F1AF36A">
            <w:pPr>
              <w:widowControl w:val="0"/>
              <w:jc w:val="center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质量及知识产权要求</w:t>
            </w:r>
          </w:p>
        </w:tc>
        <w:tc>
          <w:tcPr>
            <w:tcW w:w="3331" w:type="pct"/>
            <w:vAlign w:val="center"/>
          </w:tcPr>
          <w:p w14:paraId="67F8F75B">
            <w:pPr>
              <w:widowControl w:val="0"/>
              <w:jc w:val="both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  <w:t>9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.1中标人提供完好、全新的原包装产品（包括零配件），随机技术资料齐全。产品符合国家质量检测标准，应具有生产日期、厂名、厂址、产品合格证等。</w:t>
            </w:r>
          </w:p>
        </w:tc>
      </w:tr>
      <w:tr w14:paraId="622193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73" w:type="pct"/>
            <w:vMerge w:val="continue"/>
            <w:vAlign w:val="center"/>
          </w:tcPr>
          <w:p w14:paraId="2035B440">
            <w:pPr>
              <w:widowControl w:val="0"/>
              <w:jc w:val="center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1196" w:type="pct"/>
            <w:vMerge w:val="continue"/>
            <w:vAlign w:val="center"/>
          </w:tcPr>
          <w:p w14:paraId="4750B3E5">
            <w:pPr>
              <w:widowControl w:val="0"/>
              <w:jc w:val="center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3331" w:type="pct"/>
            <w:vAlign w:val="center"/>
          </w:tcPr>
          <w:p w14:paraId="7E123E51">
            <w:pPr>
              <w:widowControl w:val="0"/>
              <w:jc w:val="both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  <w:t>9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.2采购人使用该货物或货物的任何一部分时，免受第三方提出的侵犯其专利权、商标权或工业设计权等知识产权的起诉或司法干预。</w:t>
            </w:r>
          </w:p>
          <w:p w14:paraId="1CED995F">
            <w:pPr>
              <w:widowControl w:val="0"/>
              <w:jc w:val="both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如果发生上述起诉或干预，则其法律责任均由中标人负责，造成的一切损害赔偿及损失由中标人承担，包括但不限于实际损失、预期损失和对方要求赔偿损失及支出的律师费、交通费和差旅费等，并按照“其它商务要求”中的“违约责任”承担相应责任。</w:t>
            </w:r>
          </w:p>
        </w:tc>
      </w:tr>
      <w:tr w14:paraId="08F533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73" w:type="pct"/>
            <w:vMerge w:val="restart"/>
            <w:vAlign w:val="center"/>
          </w:tcPr>
          <w:p w14:paraId="3D1F96C0">
            <w:pPr>
              <w:widowControl w:val="0"/>
              <w:jc w:val="center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1196" w:type="pct"/>
            <w:vMerge w:val="restart"/>
            <w:vAlign w:val="center"/>
          </w:tcPr>
          <w:p w14:paraId="7FE72B86">
            <w:pPr>
              <w:widowControl w:val="0"/>
              <w:jc w:val="center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不可抗力</w:t>
            </w:r>
          </w:p>
        </w:tc>
        <w:tc>
          <w:tcPr>
            <w:tcW w:w="3331" w:type="pct"/>
            <w:vAlign w:val="center"/>
          </w:tcPr>
          <w:p w14:paraId="627DA379">
            <w:pPr>
              <w:widowControl w:val="0"/>
              <w:jc w:val="both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  <w:t>10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.1签约双方任一方由于受到不可抗力的影响而不能执行合同时，应在不可抗力事件发生后尽快用电报、传真或电传通知另一方，并于事件发生后15天内将有关当局出具的证明文件用特快专递寄给另一方审阅确认。履行合同的期限相应予以延长，其延长的期限相当于事件所影响的时间。</w:t>
            </w:r>
          </w:p>
        </w:tc>
      </w:tr>
      <w:tr w14:paraId="11F638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73" w:type="pct"/>
            <w:vMerge w:val="continue"/>
            <w:vAlign w:val="center"/>
          </w:tcPr>
          <w:p w14:paraId="41B60D44">
            <w:pPr>
              <w:widowControl w:val="0"/>
              <w:jc w:val="both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1196" w:type="pct"/>
            <w:vMerge w:val="continue"/>
            <w:vAlign w:val="center"/>
          </w:tcPr>
          <w:p w14:paraId="0027B29D">
            <w:pPr>
              <w:widowControl w:val="0"/>
              <w:jc w:val="both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3331" w:type="pct"/>
            <w:vAlign w:val="center"/>
          </w:tcPr>
          <w:p w14:paraId="0DFBDA66">
            <w:pPr>
              <w:widowControl w:val="0"/>
              <w:jc w:val="both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  <w:t>10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.2不可抗力事件系指买卖双方在缔结合同时所不能预见的，并且它的发生及其是无法避免和无法克服的事件，诸如战争、严重火灾、洪水、台风、瘟疫、地震等。</w:t>
            </w:r>
          </w:p>
        </w:tc>
      </w:tr>
      <w:bookmarkEnd w:id="0"/>
    </w:tbl>
    <w:p w14:paraId="2DEAE5DC">
      <w:pPr>
        <w:rPr>
          <w:rFonts w:ascii="宋体" w:hAnsi="宋体" w:eastAsia="宋体"/>
          <w:lang w:eastAsia="zh-CN"/>
        </w:rPr>
      </w:pPr>
    </w:p>
    <w:sectPr>
      <w:headerReference r:id="rId3" w:type="default"/>
      <w:pgSz w:w="11900" w:h="16840"/>
      <w:pgMar w:top="1440" w:right="1077" w:bottom="1418" w:left="1077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DejaVu Sans">
    <w:altName w:val="Verdana"/>
    <w:panose1 w:val="00000000000000000000"/>
    <w:charset w:val="00"/>
    <w:family w:val="roman"/>
    <w:pitch w:val="default"/>
    <w:sig w:usb0="00000000" w:usb1="00000000" w:usb2="00000008" w:usb3="00000000" w:csb0="000001FF" w:csb1="0000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  <w:font w:name="Hiragino Sans GB W3">
    <w:altName w:val="微软雅黑"/>
    <w:panose1 w:val="00000000000000000000"/>
    <w:charset w:val="86"/>
    <w:family w:val="auto"/>
    <w:pitch w:val="default"/>
    <w:sig w:usb0="00000000" w:usb1="00000000" w:usb2="00000000" w:usb3="00000000" w:csb0="0016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FD4BAB">
    <w:pPr>
      <w:pStyle w:val="8"/>
      <w:jc w:val="center"/>
    </w:pPr>
    <w:r>
      <w:drawing>
        <wp:inline distT="0" distB="0" distL="0" distR="0">
          <wp:extent cx="6184900" cy="855345"/>
          <wp:effectExtent l="0" t="0" r="6350" b="1905"/>
          <wp:docPr id="1252289445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2289445" name="图片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84900" cy="8553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D4CA51B">
    <w:pPr>
      <w:pStyle w:val="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D82"/>
    <w:rsid w:val="00002CA7"/>
    <w:rsid w:val="0002004C"/>
    <w:rsid w:val="00023DE4"/>
    <w:rsid w:val="00024777"/>
    <w:rsid w:val="00042B7B"/>
    <w:rsid w:val="00045537"/>
    <w:rsid w:val="0005381A"/>
    <w:rsid w:val="000545D9"/>
    <w:rsid w:val="0006004D"/>
    <w:rsid w:val="00060A19"/>
    <w:rsid w:val="00067165"/>
    <w:rsid w:val="00070E24"/>
    <w:rsid w:val="00094F66"/>
    <w:rsid w:val="000A652A"/>
    <w:rsid w:val="000D5ADC"/>
    <w:rsid w:val="000E1784"/>
    <w:rsid w:val="000E3738"/>
    <w:rsid w:val="000E72A2"/>
    <w:rsid w:val="000F351B"/>
    <w:rsid w:val="000F79E4"/>
    <w:rsid w:val="00111D98"/>
    <w:rsid w:val="00122C74"/>
    <w:rsid w:val="0012357A"/>
    <w:rsid w:val="00131785"/>
    <w:rsid w:val="00131FED"/>
    <w:rsid w:val="001347EA"/>
    <w:rsid w:val="001348FE"/>
    <w:rsid w:val="00134C46"/>
    <w:rsid w:val="00136023"/>
    <w:rsid w:val="001460D8"/>
    <w:rsid w:val="0015248D"/>
    <w:rsid w:val="00181472"/>
    <w:rsid w:val="00183394"/>
    <w:rsid w:val="00183B8B"/>
    <w:rsid w:val="001847E7"/>
    <w:rsid w:val="0018763B"/>
    <w:rsid w:val="00193547"/>
    <w:rsid w:val="001A060B"/>
    <w:rsid w:val="001A2E16"/>
    <w:rsid w:val="001B587C"/>
    <w:rsid w:val="001C399E"/>
    <w:rsid w:val="001C52F2"/>
    <w:rsid w:val="001C566D"/>
    <w:rsid w:val="001D0FE8"/>
    <w:rsid w:val="001D2CE1"/>
    <w:rsid w:val="001D3BDB"/>
    <w:rsid w:val="001E2C6F"/>
    <w:rsid w:val="001E5804"/>
    <w:rsid w:val="001F032F"/>
    <w:rsid w:val="001F14DF"/>
    <w:rsid w:val="001F3E74"/>
    <w:rsid w:val="001F5C47"/>
    <w:rsid w:val="001F6EA0"/>
    <w:rsid w:val="001F7F6C"/>
    <w:rsid w:val="0021435D"/>
    <w:rsid w:val="00215C98"/>
    <w:rsid w:val="002219EF"/>
    <w:rsid w:val="00225D65"/>
    <w:rsid w:val="00226A01"/>
    <w:rsid w:val="002546D0"/>
    <w:rsid w:val="002631B5"/>
    <w:rsid w:val="00273BAB"/>
    <w:rsid w:val="002740CB"/>
    <w:rsid w:val="002826DB"/>
    <w:rsid w:val="002872A1"/>
    <w:rsid w:val="00294B5C"/>
    <w:rsid w:val="002A08CA"/>
    <w:rsid w:val="002A0989"/>
    <w:rsid w:val="002A5FF7"/>
    <w:rsid w:val="002B19CC"/>
    <w:rsid w:val="002C366C"/>
    <w:rsid w:val="002C6FA2"/>
    <w:rsid w:val="002C709B"/>
    <w:rsid w:val="002D095D"/>
    <w:rsid w:val="002D64F3"/>
    <w:rsid w:val="002E4A63"/>
    <w:rsid w:val="002F0215"/>
    <w:rsid w:val="002F4BE8"/>
    <w:rsid w:val="003007CF"/>
    <w:rsid w:val="00306B99"/>
    <w:rsid w:val="003105EE"/>
    <w:rsid w:val="00313EDB"/>
    <w:rsid w:val="0032040F"/>
    <w:rsid w:val="00321217"/>
    <w:rsid w:val="00321336"/>
    <w:rsid w:val="00326633"/>
    <w:rsid w:val="00330116"/>
    <w:rsid w:val="00332B48"/>
    <w:rsid w:val="00342AE9"/>
    <w:rsid w:val="00344661"/>
    <w:rsid w:val="00344CB0"/>
    <w:rsid w:val="003557A9"/>
    <w:rsid w:val="003609EC"/>
    <w:rsid w:val="00373DBA"/>
    <w:rsid w:val="00394BA4"/>
    <w:rsid w:val="003A1756"/>
    <w:rsid w:val="003A6097"/>
    <w:rsid w:val="003A7495"/>
    <w:rsid w:val="003A7811"/>
    <w:rsid w:val="003D128F"/>
    <w:rsid w:val="003E1D8E"/>
    <w:rsid w:val="003E425C"/>
    <w:rsid w:val="00404C8D"/>
    <w:rsid w:val="004075A2"/>
    <w:rsid w:val="00414E5E"/>
    <w:rsid w:val="0042206C"/>
    <w:rsid w:val="004332D9"/>
    <w:rsid w:val="0044074B"/>
    <w:rsid w:val="00442D82"/>
    <w:rsid w:val="00452283"/>
    <w:rsid w:val="0045788D"/>
    <w:rsid w:val="00470F84"/>
    <w:rsid w:val="0047120A"/>
    <w:rsid w:val="00471736"/>
    <w:rsid w:val="00471BBF"/>
    <w:rsid w:val="004755BD"/>
    <w:rsid w:val="004758CA"/>
    <w:rsid w:val="00480E6A"/>
    <w:rsid w:val="00480FAD"/>
    <w:rsid w:val="004834B6"/>
    <w:rsid w:val="00487585"/>
    <w:rsid w:val="00493E8F"/>
    <w:rsid w:val="004962B3"/>
    <w:rsid w:val="004A2CE1"/>
    <w:rsid w:val="004A56B6"/>
    <w:rsid w:val="004A77D2"/>
    <w:rsid w:val="004B2D0B"/>
    <w:rsid w:val="004C0738"/>
    <w:rsid w:val="004C1087"/>
    <w:rsid w:val="004D174D"/>
    <w:rsid w:val="004E024E"/>
    <w:rsid w:val="004E12AF"/>
    <w:rsid w:val="004E7CB7"/>
    <w:rsid w:val="0053031A"/>
    <w:rsid w:val="00530F29"/>
    <w:rsid w:val="00535FD2"/>
    <w:rsid w:val="00537D66"/>
    <w:rsid w:val="00542FF9"/>
    <w:rsid w:val="00543BAE"/>
    <w:rsid w:val="00550C30"/>
    <w:rsid w:val="00552634"/>
    <w:rsid w:val="005538F4"/>
    <w:rsid w:val="005643DC"/>
    <w:rsid w:val="00571D40"/>
    <w:rsid w:val="005779E8"/>
    <w:rsid w:val="00582D13"/>
    <w:rsid w:val="00585E18"/>
    <w:rsid w:val="0058628E"/>
    <w:rsid w:val="00586348"/>
    <w:rsid w:val="00594B77"/>
    <w:rsid w:val="00595929"/>
    <w:rsid w:val="00597D6C"/>
    <w:rsid w:val="005A1409"/>
    <w:rsid w:val="005A570A"/>
    <w:rsid w:val="005B2549"/>
    <w:rsid w:val="005C29FB"/>
    <w:rsid w:val="005C62C2"/>
    <w:rsid w:val="005C72A5"/>
    <w:rsid w:val="005E5F2F"/>
    <w:rsid w:val="005F15AE"/>
    <w:rsid w:val="00622A1C"/>
    <w:rsid w:val="006244F6"/>
    <w:rsid w:val="00634D56"/>
    <w:rsid w:val="00656536"/>
    <w:rsid w:val="00656C5A"/>
    <w:rsid w:val="006604A6"/>
    <w:rsid w:val="006650C4"/>
    <w:rsid w:val="00680239"/>
    <w:rsid w:val="006817C8"/>
    <w:rsid w:val="0068413F"/>
    <w:rsid w:val="00687AB9"/>
    <w:rsid w:val="00687B0A"/>
    <w:rsid w:val="00692C89"/>
    <w:rsid w:val="006967D2"/>
    <w:rsid w:val="00697A02"/>
    <w:rsid w:val="006A2085"/>
    <w:rsid w:val="006B0AF7"/>
    <w:rsid w:val="006B2A24"/>
    <w:rsid w:val="006B6041"/>
    <w:rsid w:val="006C60A0"/>
    <w:rsid w:val="006E04DB"/>
    <w:rsid w:val="006E3352"/>
    <w:rsid w:val="006E3EB6"/>
    <w:rsid w:val="006E49AC"/>
    <w:rsid w:val="006E6467"/>
    <w:rsid w:val="0071052B"/>
    <w:rsid w:val="00722D86"/>
    <w:rsid w:val="00725209"/>
    <w:rsid w:val="007253F9"/>
    <w:rsid w:val="007257AA"/>
    <w:rsid w:val="007320AF"/>
    <w:rsid w:val="00740768"/>
    <w:rsid w:val="0075053C"/>
    <w:rsid w:val="00754B74"/>
    <w:rsid w:val="00755C8A"/>
    <w:rsid w:val="007651AC"/>
    <w:rsid w:val="00773BC8"/>
    <w:rsid w:val="0078020B"/>
    <w:rsid w:val="00796D40"/>
    <w:rsid w:val="007B2B48"/>
    <w:rsid w:val="007B4471"/>
    <w:rsid w:val="007B476D"/>
    <w:rsid w:val="007B5659"/>
    <w:rsid w:val="007C0B0A"/>
    <w:rsid w:val="007D2F91"/>
    <w:rsid w:val="007D5FC2"/>
    <w:rsid w:val="007E120C"/>
    <w:rsid w:val="007E4447"/>
    <w:rsid w:val="007E5F42"/>
    <w:rsid w:val="007F2BEA"/>
    <w:rsid w:val="007F5B08"/>
    <w:rsid w:val="00802CAF"/>
    <w:rsid w:val="008230B5"/>
    <w:rsid w:val="008233B2"/>
    <w:rsid w:val="008237F4"/>
    <w:rsid w:val="00827CB0"/>
    <w:rsid w:val="008313E4"/>
    <w:rsid w:val="00833BFF"/>
    <w:rsid w:val="00847CA6"/>
    <w:rsid w:val="00855B2A"/>
    <w:rsid w:val="00862D9C"/>
    <w:rsid w:val="00877E26"/>
    <w:rsid w:val="008B6132"/>
    <w:rsid w:val="008C6DE7"/>
    <w:rsid w:val="008D1BFD"/>
    <w:rsid w:val="008D2DEF"/>
    <w:rsid w:val="008F1B7A"/>
    <w:rsid w:val="008F5698"/>
    <w:rsid w:val="008F63AC"/>
    <w:rsid w:val="00910118"/>
    <w:rsid w:val="00912557"/>
    <w:rsid w:val="00927BB6"/>
    <w:rsid w:val="00932382"/>
    <w:rsid w:val="00936F2D"/>
    <w:rsid w:val="0094481F"/>
    <w:rsid w:val="00945501"/>
    <w:rsid w:val="009502F1"/>
    <w:rsid w:val="00951D2C"/>
    <w:rsid w:val="00956D95"/>
    <w:rsid w:val="009629C7"/>
    <w:rsid w:val="009663A9"/>
    <w:rsid w:val="0096649D"/>
    <w:rsid w:val="00971C0E"/>
    <w:rsid w:val="00973052"/>
    <w:rsid w:val="00993BC9"/>
    <w:rsid w:val="0099405B"/>
    <w:rsid w:val="009A1205"/>
    <w:rsid w:val="009A300B"/>
    <w:rsid w:val="009B083E"/>
    <w:rsid w:val="009B1F1E"/>
    <w:rsid w:val="009C422F"/>
    <w:rsid w:val="009C688B"/>
    <w:rsid w:val="009D328B"/>
    <w:rsid w:val="009D548B"/>
    <w:rsid w:val="009E2D9F"/>
    <w:rsid w:val="009E5B3D"/>
    <w:rsid w:val="009F1C22"/>
    <w:rsid w:val="00A1652F"/>
    <w:rsid w:val="00A206AC"/>
    <w:rsid w:val="00A20CC7"/>
    <w:rsid w:val="00A2339E"/>
    <w:rsid w:val="00A36FD6"/>
    <w:rsid w:val="00A507D7"/>
    <w:rsid w:val="00A50FAA"/>
    <w:rsid w:val="00A61D7F"/>
    <w:rsid w:val="00A660E5"/>
    <w:rsid w:val="00A709A9"/>
    <w:rsid w:val="00A76443"/>
    <w:rsid w:val="00AA6D6B"/>
    <w:rsid w:val="00AB100D"/>
    <w:rsid w:val="00AC4BA4"/>
    <w:rsid w:val="00AD00B3"/>
    <w:rsid w:val="00AE1E86"/>
    <w:rsid w:val="00AE5EEC"/>
    <w:rsid w:val="00AF1577"/>
    <w:rsid w:val="00AF5766"/>
    <w:rsid w:val="00B0127C"/>
    <w:rsid w:val="00B04729"/>
    <w:rsid w:val="00B115FF"/>
    <w:rsid w:val="00B25150"/>
    <w:rsid w:val="00B34D1E"/>
    <w:rsid w:val="00B4604D"/>
    <w:rsid w:val="00B46F9F"/>
    <w:rsid w:val="00B52FED"/>
    <w:rsid w:val="00B6166C"/>
    <w:rsid w:val="00B663CE"/>
    <w:rsid w:val="00B75D05"/>
    <w:rsid w:val="00B76257"/>
    <w:rsid w:val="00B8308F"/>
    <w:rsid w:val="00B84E5A"/>
    <w:rsid w:val="00B87876"/>
    <w:rsid w:val="00B96908"/>
    <w:rsid w:val="00BB383C"/>
    <w:rsid w:val="00BC67D8"/>
    <w:rsid w:val="00BD1496"/>
    <w:rsid w:val="00BD51D7"/>
    <w:rsid w:val="00BE0BB9"/>
    <w:rsid w:val="00BE1F69"/>
    <w:rsid w:val="00BF3E11"/>
    <w:rsid w:val="00C057A4"/>
    <w:rsid w:val="00C07556"/>
    <w:rsid w:val="00C121C1"/>
    <w:rsid w:val="00C14F53"/>
    <w:rsid w:val="00C22951"/>
    <w:rsid w:val="00C36AC7"/>
    <w:rsid w:val="00C40736"/>
    <w:rsid w:val="00C41522"/>
    <w:rsid w:val="00C5664D"/>
    <w:rsid w:val="00C61CDB"/>
    <w:rsid w:val="00C65A9C"/>
    <w:rsid w:val="00C72F9D"/>
    <w:rsid w:val="00C74261"/>
    <w:rsid w:val="00C747DD"/>
    <w:rsid w:val="00C84240"/>
    <w:rsid w:val="00C92429"/>
    <w:rsid w:val="00CA1173"/>
    <w:rsid w:val="00CA772C"/>
    <w:rsid w:val="00CB4D09"/>
    <w:rsid w:val="00CB5089"/>
    <w:rsid w:val="00CB5918"/>
    <w:rsid w:val="00CC18F4"/>
    <w:rsid w:val="00CD5F5C"/>
    <w:rsid w:val="00CD6B70"/>
    <w:rsid w:val="00CF1DEF"/>
    <w:rsid w:val="00CF5F3B"/>
    <w:rsid w:val="00CF61AC"/>
    <w:rsid w:val="00D101DE"/>
    <w:rsid w:val="00D110E7"/>
    <w:rsid w:val="00D148FE"/>
    <w:rsid w:val="00D163CD"/>
    <w:rsid w:val="00D16E3E"/>
    <w:rsid w:val="00D21B45"/>
    <w:rsid w:val="00D21D0E"/>
    <w:rsid w:val="00D269B8"/>
    <w:rsid w:val="00D31949"/>
    <w:rsid w:val="00D33B76"/>
    <w:rsid w:val="00D465F5"/>
    <w:rsid w:val="00D55EE8"/>
    <w:rsid w:val="00D6384F"/>
    <w:rsid w:val="00D71BEF"/>
    <w:rsid w:val="00D7201D"/>
    <w:rsid w:val="00D72DE3"/>
    <w:rsid w:val="00DB2259"/>
    <w:rsid w:val="00DB310A"/>
    <w:rsid w:val="00DD0857"/>
    <w:rsid w:val="00DF2B23"/>
    <w:rsid w:val="00DF569C"/>
    <w:rsid w:val="00DF7125"/>
    <w:rsid w:val="00E00D9D"/>
    <w:rsid w:val="00E0447C"/>
    <w:rsid w:val="00E14C1C"/>
    <w:rsid w:val="00E15CDC"/>
    <w:rsid w:val="00E15DE0"/>
    <w:rsid w:val="00E40824"/>
    <w:rsid w:val="00E453E9"/>
    <w:rsid w:val="00E46162"/>
    <w:rsid w:val="00E554B6"/>
    <w:rsid w:val="00E6076A"/>
    <w:rsid w:val="00E61389"/>
    <w:rsid w:val="00E847F0"/>
    <w:rsid w:val="00E860D2"/>
    <w:rsid w:val="00EA2D0A"/>
    <w:rsid w:val="00EB3752"/>
    <w:rsid w:val="00EB5EEB"/>
    <w:rsid w:val="00ED4192"/>
    <w:rsid w:val="00EE23D6"/>
    <w:rsid w:val="00EE7160"/>
    <w:rsid w:val="00EE7B2C"/>
    <w:rsid w:val="00EF2DFB"/>
    <w:rsid w:val="00EF4660"/>
    <w:rsid w:val="00EF5654"/>
    <w:rsid w:val="00EF6F9A"/>
    <w:rsid w:val="00F034BD"/>
    <w:rsid w:val="00F13CCE"/>
    <w:rsid w:val="00F17903"/>
    <w:rsid w:val="00F27322"/>
    <w:rsid w:val="00F41DFF"/>
    <w:rsid w:val="00F42BFA"/>
    <w:rsid w:val="00F448B9"/>
    <w:rsid w:val="00F52483"/>
    <w:rsid w:val="00F52574"/>
    <w:rsid w:val="00F55DC1"/>
    <w:rsid w:val="00F57751"/>
    <w:rsid w:val="00F63D4E"/>
    <w:rsid w:val="00F67975"/>
    <w:rsid w:val="00F82CAC"/>
    <w:rsid w:val="00F834B4"/>
    <w:rsid w:val="00F84963"/>
    <w:rsid w:val="00F85F48"/>
    <w:rsid w:val="00F87AD4"/>
    <w:rsid w:val="00F90F1A"/>
    <w:rsid w:val="00FB730E"/>
    <w:rsid w:val="00FC49A6"/>
    <w:rsid w:val="00FC54C2"/>
    <w:rsid w:val="00FD1A67"/>
    <w:rsid w:val="00FF1759"/>
    <w:rsid w:val="00FF25D2"/>
    <w:rsid w:val="00FF3E33"/>
    <w:rsid w:val="00FF6A6A"/>
    <w:rsid w:val="04E13A78"/>
    <w:rsid w:val="078A5B80"/>
    <w:rsid w:val="0BA64B09"/>
    <w:rsid w:val="0F5F4932"/>
    <w:rsid w:val="10BA7019"/>
    <w:rsid w:val="16A535A9"/>
    <w:rsid w:val="173D0264"/>
    <w:rsid w:val="19B23B47"/>
    <w:rsid w:val="1A172B2E"/>
    <w:rsid w:val="1AA72BF2"/>
    <w:rsid w:val="1C232517"/>
    <w:rsid w:val="235469F9"/>
    <w:rsid w:val="255C24B7"/>
    <w:rsid w:val="27C60350"/>
    <w:rsid w:val="29883446"/>
    <w:rsid w:val="2AB328E9"/>
    <w:rsid w:val="2C797E24"/>
    <w:rsid w:val="2C884E64"/>
    <w:rsid w:val="2CD21A78"/>
    <w:rsid w:val="39357970"/>
    <w:rsid w:val="39AB0B37"/>
    <w:rsid w:val="42682F77"/>
    <w:rsid w:val="478672F5"/>
    <w:rsid w:val="4B7A6B04"/>
    <w:rsid w:val="4DDF79D2"/>
    <w:rsid w:val="4F471CD3"/>
    <w:rsid w:val="517F7502"/>
    <w:rsid w:val="534810B6"/>
    <w:rsid w:val="53C177CE"/>
    <w:rsid w:val="60D76A7B"/>
    <w:rsid w:val="624C05D4"/>
    <w:rsid w:val="62D34E6E"/>
    <w:rsid w:val="63CC5EC3"/>
    <w:rsid w:val="64786BFA"/>
    <w:rsid w:val="6BE057BA"/>
    <w:rsid w:val="6F0569FA"/>
    <w:rsid w:val="7C163879"/>
    <w:rsid w:val="7EE02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sz w:val="24"/>
      <w:szCs w:val="24"/>
      <w:lang w:val="en-US" w:eastAsia="en-US" w:bidi="ar-SA"/>
    </w:rPr>
  </w:style>
  <w:style w:type="paragraph" w:styleId="2">
    <w:name w:val="heading 2"/>
    <w:basedOn w:val="3"/>
    <w:next w:val="4"/>
    <w:link w:val="21"/>
    <w:unhideWhenUsed/>
    <w:qFormat/>
    <w:uiPriority w:val="0"/>
    <w:pPr>
      <w:widowControl w:val="0"/>
      <w:spacing w:line="413" w:lineRule="auto"/>
      <w:jc w:val="both"/>
      <w:outlineLvl w:val="1"/>
    </w:pPr>
    <w:rPr>
      <w:rFonts w:ascii="DejaVu Sans" w:hAnsi="DejaVu Sans" w:eastAsia="Hiragino Sans GB W3" w:cs="Times New Roman"/>
      <w:kern w:val="2"/>
      <w:sz w:val="30"/>
      <w:lang w:eastAsia="zh-CN"/>
    </w:rPr>
  </w:style>
  <w:style w:type="paragraph" w:styleId="3">
    <w:name w:val="heading 3"/>
    <w:basedOn w:val="1"/>
    <w:next w:val="1"/>
    <w:link w:val="24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1"/>
    <w:next w:val="1"/>
    <w:link w:val="25"/>
    <w:semiHidden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link w:val="26"/>
    <w:semiHidden/>
    <w:unhideWhenUsed/>
    <w:qFormat/>
    <w:uiPriority w:val="99"/>
    <w:pPr>
      <w:spacing w:after="120"/>
    </w:pPr>
  </w:style>
  <w:style w:type="paragraph" w:styleId="6">
    <w:name w:val="Body Text Indent"/>
    <w:basedOn w:val="1"/>
    <w:link w:val="22"/>
    <w:semiHidden/>
    <w:unhideWhenUsed/>
    <w:qFormat/>
    <w:uiPriority w:val="99"/>
    <w:pPr>
      <w:spacing w:after="120"/>
      <w:ind w:left="420" w:leftChars="200"/>
    </w:pPr>
  </w:style>
  <w:style w:type="paragraph" w:styleId="7">
    <w:name w:val="footer"/>
    <w:basedOn w:val="1"/>
    <w:link w:val="16"/>
    <w:unhideWhenUsed/>
    <w:qFormat/>
    <w:uiPriority w:val="99"/>
    <w:pPr>
      <w:tabs>
        <w:tab w:val="center" w:pos="4320"/>
        <w:tab w:val="right" w:pos="8640"/>
      </w:tabs>
    </w:pPr>
  </w:style>
  <w:style w:type="paragraph" w:styleId="8">
    <w:name w:val="header"/>
    <w:basedOn w:val="1"/>
    <w:link w:val="17"/>
    <w:unhideWhenUsed/>
    <w:qFormat/>
    <w:uiPriority w:val="99"/>
    <w:pPr>
      <w:tabs>
        <w:tab w:val="center" w:pos="4320"/>
        <w:tab w:val="right" w:pos="8640"/>
      </w:tabs>
    </w:pPr>
  </w:style>
  <w:style w:type="paragraph" w:styleId="9">
    <w:name w:val="Normal (Web)"/>
    <w:basedOn w:val="1"/>
    <w:qFormat/>
    <w:uiPriority w:val="0"/>
    <w:pPr>
      <w:widowControl w:val="0"/>
      <w:spacing w:before="100" w:beforeAutospacing="1" w:after="100" w:afterAutospacing="1"/>
    </w:pPr>
    <w:rPr>
      <w:rFonts w:ascii="Calibri" w:hAnsi="Calibri" w:eastAsia="宋体" w:cs="Times New Roman"/>
      <w:lang w:eastAsia="zh-CN"/>
    </w:rPr>
  </w:style>
  <w:style w:type="paragraph" w:styleId="10">
    <w:name w:val="Body Text First Indent 2"/>
    <w:basedOn w:val="6"/>
    <w:link w:val="23"/>
    <w:unhideWhenUsed/>
    <w:qFormat/>
    <w:uiPriority w:val="99"/>
    <w:pPr>
      <w:widowControl w:val="0"/>
      <w:spacing w:line="360" w:lineRule="auto"/>
      <w:ind w:firstLine="420" w:firstLineChars="200"/>
      <w:jc w:val="both"/>
    </w:pPr>
    <w:rPr>
      <w:rFonts w:ascii="Calibri" w:hAnsi="Calibri" w:eastAsia="宋体" w:cs="Times New Roman"/>
      <w:kern w:val="2"/>
      <w:sz w:val="21"/>
      <w:szCs w:val="21"/>
      <w:lang w:eastAsia="zh-CN"/>
    </w:rPr>
  </w:style>
  <w:style w:type="table" w:styleId="12">
    <w:name w:val="Table Grid"/>
    <w:basedOn w:val="11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Strong"/>
    <w:basedOn w:val="13"/>
    <w:qFormat/>
    <w:uiPriority w:val="22"/>
    <w:rPr>
      <w:b/>
    </w:rPr>
  </w:style>
  <w:style w:type="character" w:styleId="15">
    <w:name w:val="Hyperlink"/>
    <w:basedOn w:val="13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6">
    <w:name w:val="页脚 字符"/>
    <w:basedOn w:val="13"/>
    <w:link w:val="7"/>
    <w:qFormat/>
    <w:uiPriority w:val="99"/>
    <w:rPr>
      <w:kern w:val="0"/>
      <w:sz w:val="24"/>
      <w:szCs w:val="24"/>
      <w:lang w:eastAsia="en-US"/>
    </w:rPr>
  </w:style>
  <w:style w:type="character" w:customStyle="1" w:styleId="17">
    <w:name w:val="页眉 字符"/>
    <w:basedOn w:val="13"/>
    <w:link w:val="8"/>
    <w:qFormat/>
    <w:uiPriority w:val="99"/>
    <w:rPr>
      <w:kern w:val="0"/>
      <w:sz w:val="24"/>
      <w:szCs w:val="24"/>
      <w:lang w:eastAsia="en-US"/>
    </w:rPr>
  </w:style>
  <w:style w:type="table" w:customStyle="1" w:styleId="18">
    <w:name w:val="网格型浅色1"/>
    <w:basedOn w:val="11"/>
    <w:qFormat/>
    <w:uiPriority w:val="40"/>
    <w:tblPr>
      <w:tblBorders>
        <w:top w:val="single" w:color="BEBEBE" w:themeColor="background1" w:themeShade="BF" w:sz="4" w:space="0"/>
        <w:left w:val="single" w:color="BEBEBE" w:themeColor="background1" w:themeShade="BF" w:sz="4" w:space="0"/>
        <w:bottom w:val="single" w:color="BEBEBE" w:themeColor="background1" w:themeShade="BF" w:sz="4" w:space="0"/>
        <w:right w:val="single" w:color="BEBEBE" w:themeColor="background1" w:themeShade="BF" w:sz="4" w:space="0"/>
        <w:insideH w:val="single" w:color="BEBEBE" w:themeColor="background1" w:themeShade="BF" w:sz="4" w:space="0"/>
        <w:insideV w:val="single" w:color="BEBEBE" w:themeColor="background1" w:themeShade="BF" w:sz="4" w:space="0"/>
      </w:tblBorders>
    </w:tblPr>
  </w:style>
  <w:style w:type="paragraph" w:styleId="19">
    <w:name w:val="List Paragraph"/>
    <w:basedOn w:val="1"/>
    <w:qFormat/>
    <w:uiPriority w:val="34"/>
    <w:pPr>
      <w:ind w:firstLine="420" w:firstLineChars="200"/>
    </w:pPr>
  </w:style>
  <w:style w:type="character" w:customStyle="1" w:styleId="20">
    <w:name w:val="未处理的提及1"/>
    <w:basedOn w:val="13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21">
    <w:name w:val="标题 2 字符"/>
    <w:basedOn w:val="13"/>
    <w:link w:val="2"/>
    <w:qFormat/>
    <w:uiPriority w:val="0"/>
    <w:rPr>
      <w:rFonts w:ascii="DejaVu Sans" w:hAnsi="DejaVu Sans" w:eastAsia="Hiragino Sans GB W3" w:cs="Times New Roman"/>
      <w:b/>
      <w:bCs/>
      <w:sz w:val="30"/>
      <w:szCs w:val="32"/>
    </w:rPr>
  </w:style>
  <w:style w:type="character" w:customStyle="1" w:styleId="22">
    <w:name w:val="正文文本缩进 字符"/>
    <w:basedOn w:val="13"/>
    <w:link w:val="6"/>
    <w:semiHidden/>
    <w:qFormat/>
    <w:uiPriority w:val="99"/>
    <w:rPr>
      <w:kern w:val="0"/>
      <w:sz w:val="24"/>
      <w:szCs w:val="24"/>
      <w:lang w:eastAsia="en-US"/>
    </w:rPr>
  </w:style>
  <w:style w:type="character" w:customStyle="1" w:styleId="23">
    <w:name w:val="正文文本首行缩进 2 字符"/>
    <w:basedOn w:val="22"/>
    <w:link w:val="10"/>
    <w:qFormat/>
    <w:uiPriority w:val="99"/>
    <w:rPr>
      <w:rFonts w:ascii="Calibri" w:hAnsi="Calibri" w:eastAsia="宋体" w:cs="Times New Roman"/>
      <w:kern w:val="0"/>
      <w:sz w:val="24"/>
      <w:szCs w:val="21"/>
      <w:lang w:eastAsia="en-US"/>
    </w:rPr>
  </w:style>
  <w:style w:type="character" w:customStyle="1" w:styleId="24">
    <w:name w:val="标题 3 字符"/>
    <w:basedOn w:val="13"/>
    <w:link w:val="3"/>
    <w:semiHidden/>
    <w:qFormat/>
    <w:uiPriority w:val="9"/>
    <w:rPr>
      <w:b/>
      <w:bCs/>
      <w:kern w:val="0"/>
      <w:sz w:val="32"/>
      <w:szCs w:val="32"/>
      <w:lang w:eastAsia="en-US"/>
    </w:rPr>
  </w:style>
  <w:style w:type="character" w:customStyle="1" w:styleId="25">
    <w:name w:val="标题 4 字符"/>
    <w:basedOn w:val="13"/>
    <w:link w:val="4"/>
    <w:semiHidden/>
    <w:qFormat/>
    <w:uiPriority w:val="9"/>
    <w:rPr>
      <w:rFonts w:asciiTheme="majorHAnsi" w:hAnsiTheme="majorHAnsi" w:eastAsiaTheme="majorEastAsia" w:cstheme="majorBidi"/>
      <w:b/>
      <w:bCs/>
      <w:kern w:val="0"/>
      <w:sz w:val="28"/>
      <w:szCs w:val="28"/>
      <w:lang w:eastAsia="en-US"/>
    </w:rPr>
  </w:style>
  <w:style w:type="character" w:customStyle="1" w:styleId="26">
    <w:name w:val="正文文本 字符"/>
    <w:basedOn w:val="13"/>
    <w:link w:val="5"/>
    <w:semiHidden/>
    <w:qFormat/>
    <w:uiPriority w:val="99"/>
    <w:rPr>
      <w:kern w:val="0"/>
      <w:sz w:val="24"/>
      <w:szCs w:val="24"/>
      <w:lang w:eastAsia="en-US"/>
    </w:rPr>
  </w:style>
  <w:style w:type="table" w:customStyle="1" w:styleId="27">
    <w:name w:val="网格型1"/>
    <w:basedOn w:val="11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1791</Words>
  <Characters>1873</Characters>
  <Lines>128</Lines>
  <Paragraphs>124</Paragraphs>
  <TotalTime>7</TotalTime>
  <ScaleCrop>false</ScaleCrop>
  <LinksUpToDate>false</LinksUpToDate>
  <CharactersWithSpaces>2075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2022-06-01T03:34:00Z</dcterms:created>
  <dc:creator>Emily Z</dc:creator>
  <cp:lastModifiedBy>Dandelion</cp:lastModifiedBy>
  <cp:lastPrinted>2022-07-07T14:50:00Z</cp:lastPrinted>
  <dcterms:modified xsi:type="dcterms:W3CDTF">2025-11-25T02:01:07Z</dcterms:modified>
  <cp:revision>331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eyJoZGlkIjoiNGFiMjY5NzQ2YTEwM2UyOTc2YWYxM2I2YjRmN2E2MjQiLCJ1c2VySWQiOiI3MzM3NDg3OTgifQ==</vt:lpwstr>
  </property>
  <property fmtid="{D5CDD505-2E9C-101B-9397-08002B2CF9AE}" pid="3" name="KSOProductBuildVer">
    <vt:lpwstr>2052-12.1.0.22529</vt:lpwstr>
  </property>
  <property fmtid="{D5CDD505-2E9C-101B-9397-08002B2CF9AE}" pid="4" name="ICV">
    <vt:lpwstr>53114B532CE14D82AEE67B322C08239C_12</vt:lpwstr>
  </property>
</Properties>
</file>